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ATAS/257/2022 vom 21. März 2022</w:t>
      </w:r>
    </w:p>
    <w:p>
      <w:r>
        <w:t>GE Cour de justice, 2022-03-21, FR</w:t>
      </w:r>
    </w:p>
    <w:p>
      <w:r>
        <w:rPr>
          <w:b/>
        </w:rPr>
        <w:t xml:space="preserve">Quelle: </w:t>
      </w:r>
      <w:r>
        <w:t>https://mcp.opencaselaw.ch/entscheid/ge_gerichte_ATAS_257_2022</w:t>
      </w:r>
    </w:p>
    <w:p>
      <w:r>
        <w:t>FR: GE_GERICHTE ATAS/257/2022 du 21 mars 2022</w:t>
      </w:r>
    </w:p>
    <w:p>
      <w:r>
        <w:t>IT: GE_GERICHTE ATAS/257/2022 del 21 marzo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(du 12 février 2021) a été rendue antérieurement au 1er janvier 2022, de sorte que les dispositions légales applicables seront citées dans leur ancienne teneur.</w:t>
      </w:r>
    </w:p>
    <w:p>
      <w:r>
        <w:t>A/949/2021 - 4/11 -</w:t>
      </w:r>
    </w:p>
    <w:p>
      <w:r>
        <w:rPr>
          <w:b/>
        </w:rPr>
        <w:t>E. 5</w:t>
      </w:r>
    </w:p>
    <w:p>
      <w:r>
        <w:t>Le délai de recours est de trente jours (art. 56 et 60 LPGA ; art. 62 al. 1 let. a de la loi sur la procédure administrative du 12 septembre 1985 [LPA - E 5 10]). Interjeté dans la forme (art. 61 let. b LPGA ; art. 89B LPA) et le délai prévus par la loi, le recours est recevable.</w:t>
      </w:r>
    </w:p>
    <w:p>
      <w:r>
        <w:rPr>
          <w:b/>
        </w:rPr>
        <w:t>E. 6</w:t>
      </w:r>
    </w:p>
    <w:p>
      <w:r>
        <w:t>Le litige porte sur le droit de la recourante à une rente d’invalidité et à une mesure de réadaptation professionnelle.</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w:t>
      </w:r>
    </w:p>
    <w:p>
      <w:r>
        <w:t>A/949/2021 - 5/11 - l’art. 29 al. 1 LPGA. Selon l’art. 29 al. 3 LAI, la rente est versée dès le début du mois au cours duquel le droit prend naissance.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10.2.1</w:t>
      </w:r>
    </w:p>
    <w:p>
      <w:r>
        <w:t>Ainsi,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w:t>
      </w:r>
    </w:p>
    <w:p>
      <w:r>
        <w:t>A/949/2021 - 6/11 - quant à la fiabilité ou à la pertinence des constatations effectuées par le SMR (ATF 142 V 58 consid. 5 ; ATF 135 V 465 consid. 4.4 et 4.6 ; arrêt du Tribunal fédéral 9C_371/2018 du 16 août 2018 consid. 4.3.1).</w:t>
      </w:r>
    </w:p>
    <w:p>
      <w:r>
        <w:rPr>
          <w:b/>
        </w:rPr>
        <w:t>E. 10.2.2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février 2021 (rapport du 12 novembre 2019 précité). Toutefois, en tant qu'elles entraînent, selon le médecin traitant, une restriction fonctionnelle plus importante à compter seulement du 30 mars 2021, soit postérieurement à la décision dont est recours, la chambre de céans ne peut pas en tenir compte dans la présente procédure. En effet,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Il est donc loisible à</w:t>
      </w:r>
    </w:p>
    <w:p>
      <w:r>
        <w:t>A/949/2021 - 8/11 - la recourante de déposer auprès de l'intimé une nouvelle demande de prestations concernant l'éventuelle péjoration de son état de santé.</w:t>
      </w:r>
    </w:p>
    <w:p>
      <w:r>
        <w:rPr>
          <w:b/>
        </w:rPr>
        <w:t>E. 12.1</w:t>
      </w:r>
    </w:p>
    <w:p>
      <w:r>
        <w:t>Dans son rapport du 30 septembre 2019, la doctoresse C______, spécialiste FMH en néphrologie, retient une insuffisance rénale chronique ayant bien évolué sous traitement depuis que le diagnostic a été posé en 2014, sans incidence actuellement sur la capacité de travail de la recourante. Dans son rapport du 12 novembre 2019, le Prof. B______ mentionne que sa patiente souffre d'une maladie lupique avec glomérulonéphrite extra-membraneuse depuis janvier 2014, stable depuis le 21 novembre 2018 grâce au traitement. Celle-ci présente également des arthralgies minimes au niveau des mains et des genoux sans myalgie, une photosensibilité, une dyspnée de stade NYHA I stable, des céphalées de tension occasionnelles répondant au Dafalgan, ainsi qu'une suspicion de tendinopathie de la coiffe des rotateurs de l'épaule gauche depuis 2017.</w:t>
      </w:r>
    </w:p>
    <w:p>
      <w:r>
        <w:t>A/949/2021 - 7/11 - Dans un questionnaire reçu par l'intimé le 22 novembre 2019, le Prof. B______, après avoir rappelé les atteintes mises en évidence dans son rapport précité (à l'exception de celle affectant l'épaule gauche), estime que la capacité de travail de la recourante dans son activité habituelle est de « - 20 % ». À la demande de l'intimé, dans son rapport du 8 juillet 2020, le Prof. B______ confirme que, dans ce questionnaire, il a reconnu une capacité de travail de 80 %. Fort de ce qui précède, dans son avis du 30 juillet 2020, le SMR conclut que la capacité de travail de la recourante est de 80 % dans toute activité respectant les limitations fonctionnelles d'épargne de l'épaule gauche (sans travail avec le bras gauche au-dessus de la ligne des épaules, sans port de charges supérieures à 5 kg, sans manutention, ni effort important avec ce bras), ce depuis octobre 2017.</w:t>
      </w:r>
    </w:p>
    <w:p>
      <w:r>
        <w:rPr>
          <w:b/>
        </w:rPr>
        <w:t>E. 12.2</w:t>
      </w:r>
    </w:p>
    <w:p>
      <w:r>
        <w:t>La recourante conteste l'appréciation du SMR, en faisant valoir, d'une part, que dans le rapport du 8 juillet 2020, le Prof. B______ ne s'est pas prononcé précisément sur la diminution de sa capacité de travail résiduelle, et d'autre part, que son état de santé se serait aggravé à teneur du rapport dudit médecin du 30 mars 2021.</w:t>
      </w:r>
    </w:p>
    <w:p>
      <w:r>
        <w:rPr>
          <w:b/>
        </w:rPr>
        <w:t>E. 12.2.1</w:t>
      </w:r>
    </w:p>
    <w:p>
      <w:r>
        <w:t>Or, le Prof. B______, qui suit la recourante depuis 2014 et connaît bien sa situation médicale, a, dans le questionnaire du 22 novembre 2019, posé, à titre de diagnostics ayant un effet sur la capacité de travail, uniquement ceux de lupus érythémateux disséminé et d'arthralgies diffuses. Contrairement à ce que prétend la recourante, dans le rapport du 8 juillet 2020, ce médecin a apporté des précisions quant au taux de la capacité de travail qu'il avait retenu dans le questionnaire précité au chiffre 4, lequel se rapporte exclusivement à l'activité habituelle de garde d'enfants. Le Prof. B______ n'a pas jugé utile de prendre position sur la capacité de travail dans une activité adaptée, puisqu'il considère que la recourante est apte, malgré son atteinte à la santé, à exercer l'activité de garde d'enfants à 80 %. Certes, dans le rapport du 30 mars 2021, le Prof. B______ évalue la capacité de travail de l’assurée dans l'activité habituelle à 40 % dès cette date, consécutive à une asthénie, associée à des arthralgies diffuses et à une douleur thoracique avec dyspnée. Il est vrai que ces atteintes existaient avant la décision querellée du</w:t>
      </w:r>
    </w:p>
    <w:p>
      <w:r>
        <w:rPr>
          <w:b/>
        </w:rPr>
        <w:t>E. 12.2.2</w:t>
      </w:r>
    </w:p>
    <w:p>
      <w:r>
        <w:t>En ce qui concerne la douleur de l'épaule gauche, survenue en 2017, le Prof. B______, qui suspecte une tendinopathie de la coiffe des rotateurs, n'a pas retenu une diminution de la capacité de travail de l’assurée pour ce motif, étant relevé que quand bien même il a prescrit des séances de physiothérapie, la recourante n'a pas suivi ce traitement (rapport du 12 novembre 2019 précité). Aucun autre médecin, du reste, n'a confirmé le diagnostic de tendinopathie de l'épaule gauche ou attesté qu'une atteinte de cette épaule serait incapacitante. Par conséquent, aucun rapport médical au dossier ne permet de retenir, comme l'a fait le SMR, une capacité de travail de l’assurée de 80 % dans une activité adaptée (autre que l'activité habituelle) en raison d'une tendinopathie de l'épaule gauche.</w:t>
      </w:r>
    </w:p>
    <w:p>
      <w:r>
        <w:rPr>
          <w:b/>
        </w:rPr>
        <w:t>E. 12.3</w:t>
      </w:r>
    </w:p>
    <w:p>
      <w:r>
        <w:t>Il se justifie en conséquence de s'écarter des conclusions du SMR, lequel n'a pas examiné la recourante, à l'inverse du Prof. B______, et d'admettre, avec ce dernier, que la capacité de travail de la recourante est de 80 % dans son activité habituelle, adaptée à son état de santé, ce ‒ au degré de la vraisemblance requis ‒ depuis le 21 novembre 2018, date à compter de laquelle son état de santé s'est stabilisé, sans qu'il ne s'aggrave depuis lors (rapport du 12 novembre 2019 précité).</w:t>
      </w:r>
    </w:p>
    <w:p>
      <w:r>
        <w:rPr>
          <w:b/>
        </w:rPr>
        <w:t>E. 13</w:t>
      </w:r>
    </w:p>
    <w:p>
      <w:r>
        <w:t>Il convient à présent de déterminer si c'est à juste titre que l'intimé a retenu pour la recourante, qui travaillait à temps partiel, le statut de personne active à plein temps.</w:t>
      </w:r>
    </w:p>
    <w:p>
      <w:r>
        <w:rPr>
          <w:b/>
        </w:rPr>
        <w:t>E. 13.1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w:t>
      </w:r>
    </w:p>
    <w:p>
      <w:r>
        <w:t>A/949/2021 - 9/11 - 1997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 ATF 130 V 393 consid. 3.3 et ATF 125 V 146 consid. 2c, ainsi que les références).</w:t>
      </w:r>
    </w:p>
    <w:p>
      <w:r>
        <w:rPr>
          <w:b/>
        </w:rPr>
        <w:t>E. 13.2</w:t>
      </w:r>
    </w:p>
    <w:p>
      <w:r>
        <w:t>En l'espèce, lorsque la maladie lupique de la recourante a été diagnostiquée en 2014, ses deux enfants étaient déjà autonomes, puisqu'ils étaient âgés de</w:t>
      </w:r>
    </w:p>
    <w:p>
      <w:r>
        <w:rPr>
          <w:b/>
        </w:rPr>
        <w:t>E. 15</w:t>
      </w:r>
    </w:p>
    <w:p>
      <w:r>
        <w:t>Reste encore à examiner si la recourante a droit à une mesure de réadaptation professionnelle.</w:t>
      </w:r>
    </w:p>
    <w:p>
      <w:r>
        <w:rPr>
          <w:b/>
        </w:rPr>
        <w:t>E. 15.1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w:t>
      </w:r>
    </w:p>
    <w:p>
      <w:r>
        <w:rPr>
          <w:b/>
        </w:rPr>
        <w:t>E. 15.2</w:t>
      </w:r>
    </w:p>
    <w:p>
      <w:r>
        <w:t>En l'occurrence, dans la mesure où la recourante est toujours en mesure d’exercer son activité habituelle à 80 %, aucune mesure professionnelle ne se justifie (dans ce sens : ATAS/717/2016 du 12 septembre 2016 consid. 11).</w:t>
      </w:r>
    </w:p>
    <w:p>
      <w:r>
        <w:rPr>
          <w:b/>
        </w:rPr>
        <w:t>E. 16</w:t>
      </w:r>
    </w:p>
    <w:p>
      <w:r>
        <w:t>Au vu de ce qui précède, la décision litigieuse doit être confirmée dans son résultat.</w:t>
      </w:r>
    </w:p>
    <w:p>
      <w:r>
        <w:rPr>
          <w:b/>
        </w:rPr>
        <w:t>E. 17</w:t>
      </w:r>
    </w:p>
    <w:p>
      <w:r>
        <w:t>Aussi, le recours ne peut-il être que rejeté.</w:t>
      </w:r>
    </w:p>
    <w:p>
      <w:r>
        <w:rPr>
          <w:b/>
        </w:rPr>
        <w:t>E. 18</w:t>
      </w:r>
    </w:p>
    <w:p>
      <w:r>
        <w:t>La procédure de recours en matière de contestations portant sur des prestations de l'assurance-invalidité n'est pas gratuite (art. 69 al. 1bis LAI). On ne saurait toutefois, comme le voudrait la recourante, renoncer à percevoir un émolument. C'est en effet le lieu de rappeler qu'il n'est pas mis d'émolument à la charge de l'assuré(e) qui succombe lorsqu'il(-elle) est au bénéfice de l'assistance juridique (art. 13 al. 1 du règlement sur les frais, émoluments et indemnités en procédure administrative du 30 juillet 1986 [RFPA - E 5 10.03]), ce qui n'est pas le cas en l'espèce. La recourante sera donc condamnée au paiement d'un émolument, arrêté en l'occurrence à CHF 200.- (art. 69 al. 1bis in fine LAI). * * * * * *</w:t>
      </w:r>
    </w:p>
    <w:p>
      <w:r>
        <w:t>A/949/2021 - 11/11 -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