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ATAS/257/2016 vom 31. März 2016</w:t>
      </w:r>
    </w:p>
    <w:p>
      <w:r>
        <w:t>GE Cour de justice, 2016-03-31, FR</w:t>
      </w:r>
    </w:p>
    <w:p>
      <w:r>
        <w:rPr>
          <w:b/>
        </w:rPr>
        <w:t xml:space="preserve">Quelle: </w:t>
      </w:r>
      <w:r>
        <w:t>https://mcp.opencaselaw.ch/entscheid/ge_gerichte_ATAS_257_2016</w:t>
      </w:r>
    </w:p>
    <w:p>
      <w:r>
        <w:t>FR: GE_GERICHTE ATAS/257/2016 du 31 mars 2016</w:t>
      </w:r>
    </w:p>
    <w:p>
      <w:r>
        <w:t>IT: GE_GERICHTE ATAS/257/2016 del 31 marzo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du point de vue matériel, au vu des faits pertinents jusqu'à la décision du 18 juin 2015, le droit éventuel aux prestations doit être examiné au regard des modifications de la LAI suscitées, dans la mesure de leur pertinence</w:t>
      </w:r>
    </w:p>
    <w:p>
      <w:r>
        <w:t>A/2790/2015 - 11/19 -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w:t>
      </w:r>
    </w:p>
    <w:p>
      <w:r>
        <w:rPr>
          <w:b/>
        </w:rPr>
        <w:t>E. 3</w:t>
      </w:r>
    </w:p>
    <w:p>
      <w:r>
        <w:t>Le délai de recours est de 30 jours (art. 60 al. 1 LPGA). Interjeté dans la forme et le délai prévus par la loi, le recours du 19 août 2015 contre la décision de l'intimé du 18 juin 2015 est recevable, en vertu des art. 56ss LPGA et compte tenu de la suspension des délais courant du 15 juillet au 15 août inclusivement (art. 38 al. 4 let. b LPGA).</w:t>
      </w:r>
    </w:p>
    <w:p>
      <w:r>
        <w:rPr>
          <w:b/>
        </w:rPr>
        <w:t>E. 4</w:t>
      </w:r>
    </w:p>
    <w:p>
      <w:r>
        <w:t>Le litige porte sur le degré de la rente à accorder à la recourante du 1er août 2010 au 31 janvier 2014, étant précisé que la décision attaquée lui octroie un quart de rente d'invalidité durant cette période pour laquelle la recourante requiert une demi-rente et que le droit à une rente entière lui a été reconnu dès le 1er février 2014.</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b.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w:t>
      </w:r>
    </w:p>
    <w:p>
      <w:r>
        <w:t>A/2790/2015 - 12/19 - c.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Un rapport au sens de l'art. 59 al. 2bis LAI (en corrélation avec l'art. 49 al. 1 RAI) a pour fonction d'opérer la synthèse des renseignements médicaux versés au</w:t>
      </w:r>
    </w:p>
    <w:p>
      <w:r>
        <w:t>A/2790/2015 - 13/19 -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w:t>
      </w:r>
    </w:p>
    <w:p>
      <w:r>
        <w:t>A/2790/2015 - 14/19 -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w:t>
      </w:r>
    </w:p>
    <w:p>
      <w:r>
        <w:t>A/2790/2015 - 15/19 -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t>A/2790/2015 - 16/19 -</w:t>
      </w:r>
    </w:p>
    <w:p>
      <w:r>
        <w:rPr>
          <w:b/>
        </w:rPr>
        <w:t>E. 10</w:t>
      </w:r>
    </w:p>
    <w:p>
      <w:r>
        <w:t>En l'espèce, il n'est pas contesté que la recourante souffre d'une tendinopathie de la coiffe des rotateurs, d'une bursite sous-acromio deltoïdienne bilatérale, de douleurs lombaires chroniques avec sciatalgies et d'un syndrome inflammatoire, avec suspicion d’une polyarthrite séronégative, qui ont entraîné une incapacité totale à exercer son activité habituelle depuis le 13 juillet 2009. En outre, les parties s'accordent à reconnaître une aggravation de l'état de santé de la recourante à compter d'octobre 2013, en raison d’un carcinome canalaire invasif du sein droit, aggravation conduisant à l’octroi d’une rente d'invalidité entière à compter du 1er février 2014. Seule demeure donc litigieuse l'évaluation de la capacité de travail de la recourante dans une activité adaptée, pour la période antérieure au 1er février 2014. En effet, dans sa décision du 18 juin 2015, l'intimé retient que la recourante a toujours conservé une pleine capacité de travail dans une activité adaptée, la comparaison des gains conduisant à un degré d’invalidité lui ouvrant droit à un quart de rente du 1er août 2010 au 31 janvier 2014. La recourante conteste toute capacité de travail durant cette période, alléguant que les conclusions du Dr I______ ne sont pas motivées et peu réalistes. Elle requiert l’octroi d’une demi-rente au moins durant la période considérée.</w:t>
      </w:r>
    </w:p>
    <w:p>
      <w:r>
        <w:rPr>
          <w:b/>
        </w:rPr>
        <w:t>E. 11</w:t>
      </w:r>
    </w:p>
    <w:p>
      <w:r>
        <w:t>a. Dès lors, il convient d'examiner, tout d’abord, quelle valeur probante peut être reconnue à l'expertise du Dr I______ du 9 juin 2011. La chambre de céans constate que cette expertise se base sur le dossier médical de la recourante et son examen clinique. L'anamnèse est complète et les plaintes de l’intéressée ont été prises en considération. La description et l'appréciation de la situation médicale sont claires. L'expert s'est prononcé sur l'évolution de l'état de santé de la recourante, sur sa capacité de travail et sur ses limitations fonctionnelles. Ses conclusions sont cohérentes et convaincantes. L'expertise réalisée est ainsi conforme aux réquisits jurisprudentiels permettant de lui conférer une pleine valeur probante. b. Toutefois, la chambre de céans observe que, dans son complément du 10 juin 2014, l'expert s'est écarté des conclusions de son expertise sans justification. En effet, dans son rapport d'expertise du 9 juin 2011, le Dr I______ retenait certes une capacité de travail entière dans une activité adaptée, mais il préconisait d’abord une reprise à temps partiel. Les conclusions de l'expert rejoignaient ainsi celles du médecin traitant de la recourante, la Dresse F______, qui, dans un rapport du 21 février 2011, escomptait une reprise du travail à 40% au cours de l'automne 2011. Or, dans son complément du 10 juin 2014, sans expliquer à satisfaction de droit les raisons pour lesquelles il revenait sur ses premières conclusions, l'expert a conclu à une capacité de travail totale dans une activité adaptée dès le 13 juillet 2009.</w:t>
      </w:r>
    </w:p>
    <w:p>
      <w:r>
        <w:t>A/2790/2015 - 17/19 - Dans son rapport du 1er juin 2010, la Dresse F______ avait pourtant attesté d'une incapacité de travail totale de la recourante dans toute activité depuis le 13 juillet 2009 et préconisé la reprise d'une activité adaptée d’abord à 50% au maximum. Dans un rapport du 11 novembre 2010, le Dr G______ avait également indiqué qu'une reprise du travail était prématurée. Le 18 novembre 2010, la Dresse F______ estimait qu'une reprise du travail à temps partiel ne pouvait être escomptée que dans le courant de l'année 2011. L'expert I______ n'indique pas non plus les raisons pour lesquelles il se démarque de ces appréciations dans son complément d’expertise. Par la suite, la Fondation T______ a conclu pour sa part à une capacité de travail dans une activité adaptée de 50% au maximum, avec un rendement diminué de l'ordre de 10%. Dans des rapports des 31 mars et 12 septembre 2012, la Dresse F______ a alors fait état d'une aggravation de l'état de santé de sa patiente et a conclu à une capacité de travail dans une activité adaptée de 40%, tout en relevant que la reprise d'une activité à temps complet pourrait ne plus être possible dans le futur. Le 24 janvier 2013, la Dresse J______, a d'ailleurs retenu, pour le compte du SMR, une capacité de travail dans une activité adaptée de 40%. Qui plus est, dans son calcul du degré d'invalidité du 26 juillet 2013, l'intimé a tenu compte d'un taux d'activité professionnelle exigible de 30%, soit 40% de son taux d'activité initial de 75%. A teneur du dossier produit, ces nouveaux éléments n'ont pas été soumis à l'expert I______ dans le cadre de la demande de complément formulée par l'intimé. Le Dr I______ relève d’ailleurs dans son rapport du 10 juin 2014 n'avoir reçu aucune information concernant l'évolution clinique de l’assurée depuis son expertise. Eu égard à ces éléments, force est de constater que la demande de complément soumise à l'expert était lacunaire. Dès lors, les conclusions formulées dans le complément du 10 juin 2014 ne sauraient être suivies, d’autant que, comme relevé, l’expert s’est écarté de ses conclusions précédentes sans s’en expliquer. Il reviendra donc à l'intimé d'interpeller à nouveau l'expert en lui soumettant l’intégralité du dossier médical constitué depuis juin 2011 et en sollicitant, cas échéant, des explications quant à une modification de ses conclusions. Dans ces conditions, il apparaît que l'instruction menée par l'intimé est lacunaire, de sorte que la chambre de céans n'est pas en mesure de se prononcer sur le degré d'invalidité de la recourante et son droit à des prestations pour la période antérieure au 1er février 2014. Il convient ainsi de lui renvoyer le dossier de la cause pour instruction complémentaire et nouvelle décision dans le sens des considérants.</w:t>
      </w:r>
    </w:p>
    <w:p>
      <w:r>
        <w:t>A/2790/2015 - 18/19 - En l'état, il sera renoncé à d'autres mesures d'instruction et, en particulier, à l'audition du Dr P______ sollicitée par la recourante, s'agissant de l'appréciation de l'aide exigible de son époux. Cependant, la chambre de céans observera qu'à l'occasion du renvoi ordonné, il reviendra également à l'intimé d'apprécier le rapport du Dr P______ du 4 novembre 2015, produit par la recourante le 16 novembre 2015, avant de rendre une nouvelle décision.</w:t>
      </w:r>
    </w:p>
    <w:p>
      <w:r>
        <w:rPr>
          <w:b/>
        </w:rPr>
        <w:t>E. 12</w:t>
      </w:r>
    </w:p>
    <w:p>
      <w:r>
        <w:t>Au vu de ce qui précède, le recours est partiellement admis et la cause renvoyée à l’intimé afin que ce dernier statue à nouveau sur le degré d’invalidité à reconnaître à la recourante pour la période du 1er août 2010 au 31 janvier 2014. La décision litigieuse est confirmée pour le surplus, c'est-à-dire pour la période postérieure au 31 janvier 2014. La recourante obtenant formellement gain de cause, une indemnité de CHF 1'500.- lui sera accordée à titre de participation à ses frais et dépens (art. 61 let. g LPGA ; art. 89 H al. 3 de la loi sur la procédure administrative du 12 septembre 1985 (LPGA-GE-E 5 10) ; art. 6 du règlement sur les frais, émoluments et indemnités en matière administrative du 30 juillet 1986 (RFPA – E5 10.03)). Pour le reste, la procédure n'étant plus gratuite depuis le 1er juillet 2006 (art. 69 al. 1 bis LAI ; art. 89 H al. 4 LPA-GE), au vu du sort du recours, il y a lieu de condamner l'intimé au paiement d'un émolument de CHF 300.-.</w:t>
      </w:r>
    </w:p>
    <w:p>
      <w:r>
        <w:t>A/2790/2015 - 19/19 -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