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ATAS/257/2015 vom 26. März 2015</w:t>
      </w:r>
    </w:p>
    <w:p>
      <w:r>
        <w:t>GE Cour de justice, 2015-03-26, FR</w:t>
      </w:r>
    </w:p>
    <w:p>
      <w:r>
        <w:rPr>
          <w:b/>
        </w:rPr>
        <w:t xml:space="preserve">Quelle: </w:t>
      </w:r>
      <w:r>
        <w:t>https://mcp.opencaselaw.ch/entscheid/ge_gerichte_ATAS_257_2015</w:t>
      </w:r>
    </w:p>
    <w:p>
      <w:r>
        <w:t>FR: GE_GERICHTE ATAS/257/2015 du 26 mars 2015</w:t>
      </w:r>
    </w:p>
    <w:p>
      <w:r>
        <w:t>IT: GE_GERICHTE ATAS/257/2015 del 26 marzo 2015</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a été de 4% du 5 septembre 1998 au 31 décembre 2002, de 3,25% en 2003, de 2,25% en 2004, de 2,5% de 2005 à 2007, de 2,75% en 2008, de 2% de 2009 à 2011, de 1,5% en 2012 et 2013 et de 1,75% dès le 1er janvier 2014.</w:t>
      </w:r>
    </w:p>
    <w:p>
      <w:r>
        <w:rPr>
          <w:b/>
        </w:rPr>
        <w:t>E. 3</w:t>
      </w:r>
    </w:p>
    <w:p>
      <w:r>
        <w:t>En l'occurrence, se pose d'abord la question de l'exequatur du jugement de divorce, lequel a été rendu par un tribunal français. a) S'agissant de la reconnaissance de jugements étrangers, il convient de se référer à la loi fédérale sur le droit international privé du 18 mars 1987 (LDIP). Selon son art. 25, une décision étrangère est reconnue en Suisse : a. si la compétence des autorités judiciaires ou administratives de l'Etat dans lequel la décision a été rendue était donnée;</w:t>
      </w:r>
    </w:p>
    <w:p>
      <w:r>
        <w:t>A/433/2015 4/6 b. si la décision n'est plus susceptible de recours ordinaire ou si elle est définitive; c. s'il n'y a pas de motif de refus au sens de l'art. 27 LDIP, lequel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état tiers, pour autant que cette dernière décision remplisse les conditions de sa reconnaissance. L'art. 29 LDIP définit la procédure de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Lorsqu'une décision étrangère est invoquée à titre préalable, l'autorité saisie peut statuer elle-même sur la reconnaissance (art. 29 al. 3 LDIP). b) Il appartient ainsi à la Cour de céans de statuer, à titre préjudiciel, sur la reconnaissance en Suisse du jugement de divorce rendu le 24 janvier 2013 par le Tribunal de grande instance de Thonon les Bains. Le Tribunal fédéral des assurances a confirmé qu'en pareil cas, la juridiction saisie peut faire usage de la faculté réservée par l'art. 29 al. 3 LDIP et statuer elle-même, à titre préjudiciel, sur la reconnaissance en Suisse du divorce prononcé à l'étranger (ATF 6 S.438/2004 du</w:t>
      </w:r>
    </w:p>
    <w:p>
      <w:r>
        <w:rPr>
          <w:b/>
        </w:rPr>
        <w:t>E. 8</w:t>
      </w:r>
    </w:p>
    <w:p>
      <w:r>
        <w:t>Aucun émolument ne sera perçu, la procédure étant gratuite (art. 73 al. 2 LPP et 89H al. 1 de la loi sur la procédure administrative du 12 septembre 1985).</w:t>
      </w:r>
    </w:p>
    <w:p>
      <w:r>
        <w:t>A/433/2015 6/6</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