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ATAS/257/2014 vom 4. März 2014</w:t>
      </w:r>
    </w:p>
    <w:p>
      <w:r>
        <w:t>GE Cour de justice, 2014-03-04, FR</w:t>
      </w:r>
    </w:p>
    <w:p>
      <w:r>
        <w:rPr>
          <w:b/>
        </w:rPr>
        <w:t xml:space="preserve">Quelle: </w:t>
      </w:r>
      <w:r>
        <w:t>https://mcp.opencaselaw.ch/entscheid/ge_gerichte_ATAS_257_2014</w:t>
      </w:r>
    </w:p>
    <w:p>
      <w:r>
        <w:t>FR: GE_GERICHTE ATAS/257/2014 du 4 mars 2014</w:t>
      </w:r>
    </w:p>
    <w:p>
      <w:r>
        <w:t>IT: GE_GERICHTE ATAS/257/2014 del 4 marzo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w:t>
      </w:r>
    </w:p>
    <w:p>
      <w:r>
        <w:t>A/3296/2013 - 8/19 - modification du point de vue de leur contenu, de sorte que la jurisprudence développée à leur propos peut être reprise et appliquée (ATF 130 V 343 consid. 3).</w:t>
      </w:r>
    </w:p>
    <w:p>
      <w:r>
        <w:rPr>
          <w:b/>
        </w:rPr>
        <w:t>E. 3.3</w:t>
      </w:r>
    </w:p>
    <w:p>
      <w:r>
        <w:t>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w:t>
      </w:r>
    </w:p>
    <w:p>
      <w:r>
        <w:t>A/3296/2013 - 13/19 - éventuelle réduction du salaire statistique (ATFA non publiés I 43/05 du 30 juin 2006, consid. 5.2 et I 1/03 du 15 avril 2003, consid. 5.2).</w:t>
      </w:r>
    </w:p>
    <w:p>
      <w:r>
        <w:rPr>
          <w:b/>
        </w:rPr>
        <w:t>E. 4</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5</w:t>
      </w:r>
    </w:p>
    <w:p>
      <w:r>
        <w:t>Le délai de recours est de 30 jours (art. 60 al. 1 LPGA). Interjeté dans la forme et le délai prévus par la loi, le recours est recevable, en vertu des art. 56ss LPGA.</w:t>
      </w:r>
    </w:p>
    <w:p>
      <w:r>
        <w:rPr>
          <w:b/>
        </w:rPr>
        <w:t>E. 6</w:t>
      </w:r>
    </w:p>
    <w:p>
      <w:r>
        <w:t>Le litige porte sur le droit de l’assuré à une rente d’invalidité.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w:t>
      </w:r>
    </w:p>
    <w:p>
      <w:r>
        <w:t>A/3296/2013 - 9/19 -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A/3296/2013 - 10/19 -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A/3296/2013 - 11/19 -</w:t>
      </w:r>
    </w:p>
    <w:p>
      <w:r>
        <w:rPr>
          <w:b/>
        </w:rPr>
        <w:t>E. 10</w:t>
      </w:r>
    </w:p>
    <w:p>
      <w:r>
        <w:t>p. 28 consid. 4b), la jurisprudence rendue sous l’empire de l’art. 4 aCst. étant toujours valable (ATF 124 V 90 consid. 4b, ATF 122 V 157 consid. 1d).</w:t>
      </w:r>
    </w:p>
    <w:p>
      <w:r>
        <w:rPr>
          <w:b/>
        </w:rPr>
        <w:t>E. 11</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w:t>
      </w:r>
    </w:p>
    <w:p>
      <w:r>
        <w:t>A/3296/2013 - 12/19 -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w:t>
      </w:r>
    </w:p>
    <w:p>
      <w:r>
        <w:rPr>
          <w:b/>
        </w:rPr>
        <w:t>E. 12</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w:t>
      </w:r>
    </w:p>
    <w:p>
      <w:r>
        <w:rPr>
          <w:b/>
        </w:rPr>
        <w:t>E. 13</w:t>
      </w:r>
    </w:p>
    <w:p>
      <w:r>
        <w:t>En l’espèce. l’OAI s’est fondé sur le rapport du Dr H________ du 29 mai 2012 et du complément du 10 juillet 2012 pour retenir une capacité de travail de 50% dans son activité antérieure d’employé de banque et de 100% dans une activité adaptée depuis le 12 avril 2010. L’assuré conteste la valeur probante de ce rapport. Il a plus particulièrement relevé une contradiction dans les conclusions de l’expert, s’agissant de l’appréciation de sa capacité de travail dans une activité adaptée. En effet, l’expert considère que dans une activité ne nécessitant aucune manipulation, type surveillance, la capacité de</w:t>
      </w:r>
    </w:p>
    <w:p>
      <w:r>
        <w:t>A/3296/2013 - 14/19 - travail est entière. L’assuré s’étonne de ce qu’aucune diminution de rendement n’ait été prise en considération, vu les douleurs dont il souffre. La Chambre de céans relève toutefois que, dans la mesure où les limitations fonctionnelles rencontrées par l’assuré portent sur la manipulation d’objets, même légers, de façon soutenue, ou le travail sur ordinateur, il n’est de loin pas inconcevable que l’on puisse conclure à une capacité de travail entière dans une activité adaptée à ces limitations. La Chambre de céans peine dès lors à comprendre pourquoi les conclusions de l’expert contiendraient une contradiction à cet égard. L’assuré du reste a lui-même confié à l’expert que dans le cadre d’une activité au cours de laquelle il n’aurait pas à utiliser ses mains, il serait disposé à travailler à plein temps. Force est ainsi de constater que le rapport d’expertise du Dr H________ repose sur une étude complète et circonstanciée de la situation médicale. Il a été établi en pleine connaissance du dossier médical, des plaintes exprimées par l'assuré et de l’anamnèse. Les considérations médicales sont clairement exprimées et les conclusions du rapport dûment motivées et explicites. Partant, ce rapport doit se voir reconnaître pleine valeur probante. Il n’y a en conséquence pas lieu d’ordonner une nouvelle expertise neurologique.</w:t>
      </w:r>
    </w:p>
    <w:p>
      <w:r>
        <w:rPr>
          <w:b/>
        </w:rPr>
        <w:t>E. 14</w:t>
      </w:r>
    </w:p>
    <w:p>
      <w:r>
        <w:t>L’assuré reproche à l’OAI de n’avoir pas procédé à la comparaison des gains pour déterminer son degré d’invalidité sur la base de ce qu’il aurait gagné en tant qu’employé de banque.</w:t>
      </w:r>
    </w:p>
    <w:p>
      <w:r>
        <w:rPr>
          <w:b/>
        </w:rPr>
        <w:t>E. 15</w:t>
      </w:r>
    </w:p>
    <w:p>
      <w:r>
        <w:t>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p. 325, 129 V 222 consid. 4.3.1 p. 224 et les références;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(arrêt U 243/99 du 23 mai 2000; cf. aussi arrêt B 80/01 du 17 octobre 2003 consid. 5.2.2, in REAS 2004 p. 239). (…)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w:t>
      </w:r>
    </w:p>
    <w:p>
      <w:r>
        <w:t>A/3296/2013 - 15/19 - d'indices concrets que l'assuré aurait obtenu dans les faits un avancement ou une augmentation corrélative de ses revenus, s'il n'était pas devenu invalide. Des indices concrets en faveur de l'évolution de la carrière professionnelle doivent exister. L’office AI ne prend en considération, en règle générale, que des revenus annuels se rapportant à la même période; le calcul des revenus déterminants doit être effectué compte tenu de la situation existant à la date du début de la rente (ATF 129 V 222 et 128 V 174). Il établit, sur des bases temporelles identiques, le revenu acquis en tant que personne valide et celui acquis en tant qu’invalide, ainsi que les éventuelles modifications des revenus comparés pouvant avoir une incidence sur la rente jusqu’à la date de la décision. Le cas échéant, une autre comparaison des revenus peut être effectuée avant la décision. (n° 3016) Les deux revenus doivent être déterminés de façon objective. Dans certaines circonstances, l’application d’un correctif est néanmoins justifiée. Il s’agit notamment des cas où le revenu sans invalidité était nettement inférieur à la moyenne déjà avant la survenance de l’invalidité en raison de facteurs étrangers à l’invalidité (p. ex. une formation scolaire modeste, une formation professionnelle lacunaire, une faible maîtrise de la langue ou une employabilité restreinte en raison du type de permis). Dans ces cas, la mise en parallèle des deux revenus permet de pondérer ces éléments. Aucun élément ne doit toutefois attester que la personne assurée a elle-même voulu se contenter d’un revenu plus modeste (ATF 135 V 297, ATF 134 V 322, 9C_488/2008, ATF 135 V 58, 9C_996/2010). On entend par revenu hypothétique sans invalidité le revenu que la personne assurée réaliserait avec une vraisemblance prépondérante, eu égard à l’ensemble des circonstances, si elle n’était pas devenue invalide (RCC 1973 p. 198, 1964 p. 388, 1961 p. 338; I 1034/06, ATF 131 V 51, 129 V 224, con. 4.3.1, 9C_404/2007, VSI 2002, p. 161 cons. 3b). En règle générale, le revenu sans invalidité est déterminé sur la base du dernier salaire effectivement perçu sans prendre en considération ce que la personne assurée aurait pu gagner dans la meilleure des hypothèses. Si, du point de vue de l’état de santé, la personne assurée était en mesure de travailler à temps complet, mais a réduit son temps de travail par propre choix, par exemple pour avoir plus de temps libre, ou si à cause du marché du travail, il ne lui était pas possible d’exercer une activité à temps complet, il faut considérer comme revenu sans invalidité le revenu effectivement obtenu et ne pas retenir celui qu’elle aurait pu gagner en travaillant à temps complet (Directives concernant l'invalidité et l'impotence nos 3020.1 et 3021).</w:t>
      </w:r>
    </w:p>
    <w:p>
      <w:r>
        <w:rPr>
          <w:b/>
        </w:rPr>
        <w:t>E. 16</w:t>
      </w:r>
    </w:p>
    <w:p>
      <w:r>
        <w:t>Certes l’assuré a-t-il en l'espèce exercé une activité d’employé de banque. Il y a toutefois lieu de rappeler qu’il a cessé d’exercer une telle activité en juillet 2004 déjà. Son employeur avait alors résilié son contrat de travail, au motif que ses performances n’étaient plus à la hauteur des exigences du poste. L’assuré avait alors déposé en mai 2005 une première demande auprès de l’OAI. Le diagnostic de trouble dépressif récurrent, épisode actuel léger sans syndrome somatique, avait été posé par le Dr B________, psychiatre, lequel estimait l’incapacité de travail de</w:t>
      </w:r>
    </w:p>
    <w:p>
      <w:r>
        <w:t>A/3296/2013 - 16/19 - l’assuré à 100% depuis février 2004. Sa demande avait été rejetée en décembre 2007, l’assuré ne s’étant en particulier pas rendu aux rendez-vous fixés par le psychiatre mandaté par l’OAI pour expertise, de sorte que l'OAI avait rendu sa décision sur la base du dossier en sa possession. Il n’a pas repris d’activité lucrative depuis. Les troubles subis aux mains entrainant une incapacité de travail ne sont survenus qu'environ trois ans après. La méthode générale de comparaison des revenus s’applique aux assurés qui ont dû interrompre ou cesser leur activité lucrative pour cause de maladie ou d’accident, et qui, sans handicap, auraient continué à exercer une activité lucrative (ATF 9C 352/2009). On ne saurait au vu de ce qui précède considérer que l'assuré a interrompu son activité d'employé de banque en raison de la survenance d'une invalidité au sens de la LAI. Le revenu sans invalidité ne peut dès lors être calculé selon celui qu’il réalisait en 2004. C'est ainsi à juste titre que l'OAI a procédé à la détermination du revenu sans invalidité en se référant aux données statistiques résultant de l'enquête suisse sur la structure des salaires (ESS), soit sur le salaire que peuvent réaliser les hommes effectuant des activités simples et répétitives (ESS, Tableau TA1, 2012, niveau de qualification 4).</w:t>
      </w:r>
    </w:p>
    <w:p>
      <w:r>
        <w:rPr>
          <w:b/>
        </w:rPr>
        <w:t>E. 17</w:t>
      </w:r>
    </w:p>
    <w:p>
      <w:r>
        <w:t>Selon la jurisprudence, lorsque les revenus avec et sans invalidité sont basés sur la même tabelle statistiques, il est superflu de chiffrer ces derniers avec exactitude. Dans ce cas, le degré d’invalidité se confond avec le taux d’incapacité de travail.</w:t>
      </w:r>
    </w:p>
    <w:p>
      <w:r>
        <w:rPr>
          <w:b/>
        </w:rPr>
        <w:t>E. 18</w:t>
      </w:r>
    </w:p>
    <w:p>
      <w:r>
        <w:t>Le recourant critique enfin le taux d'abattement retenu par l’OAI. Il soutient qu'au vu des circonstances, il peut prétendre à une réduction de 20%.</w:t>
      </w:r>
    </w:p>
    <w:p>
      <w:r>
        <w:rPr>
          <w:b/>
        </w:rPr>
        <w:t>E. 19</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w:t>
      </w:r>
    </w:p>
    <w:p>
      <w:r>
        <w:t>A/3296/2013 - 17/19 -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20</w:t>
      </w:r>
    </w:p>
    <w:p>
      <w:r>
        <w:t>Le Tribunal fédéral a ainsi pris en compte l'âge en tant que critère justifiant un abattement du salaire statistique dans le cas d'un assuré ayant 55 ans (ATF non publié 9C_289/2012 du 15 octobre 2012, consid. 3.3.2.2), 52 ans (ATFA non publié I 28/04 du 9 mars 2005) et même 49 ans (ATF non publié 9C_854/2010 du 30 décembre 2010, consid. 4). Le Tribunal fédéral a par ailleurs récemment rappelé que la prise en compte d'une diminution de rendement dans le cadre de l'évaluation médicale de la capacité de travail résiduelle n'empêche pas par ailleurs de procéder à un abattement sur le salaire statistique, dont la fonction est de prendre en compte dans le cadre des perspectives salariales de la personne assurée, les circonstances personnelles et professionnelles du cas particulier. Il a ainsi retenu, outre une diminution de rendement de 20%, qu'un abattement de 15% se justifiait en raison de l'âge de l'assuré (55 ans), de l'absence prolongée du marché du travail et de la nature des limitations fonctionnelles, ces critères pouvant jouer concrètement sur ses perspectives salariales dans le cadre de l'exercice d'une activité simple, légère et ne nécessitant pas de formation particulière (ATF non publié 9C_289/2012 du 15 octobre 2012, consid. 3.3.2 et 3.3.2.2). Enfin, s'il est vrai que les facteurs tels que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non publié 9C_1043/2008 du 2 juillet 2009, consid. 3.2).</w:t>
      </w:r>
    </w:p>
    <w:p>
      <w:r>
        <w:rPr>
          <w:b/>
        </w:rPr>
        <w:t>E. 21</w:t>
      </w:r>
    </w:p>
    <w:p>
      <w:r>
        <w:t>L’OAI estime qu’une réduction de 20% telle que proposée par l’assuré ne se justifie pas, celui-ci étant de nationalité suisse, apte à travailler à plein temps et ne pouvant justifier d’un grand nombre d’années de service.</w:t>
      </w:r>
    </w:p>
    <w:p>
      <w:r>
        <w:rPr>
          <w:b/>
        </w:rPr>
        <w:t>E. 22</w:t>
      </w:r>
    </w:p>
    <w:p>
      <w:r>
        <w:t>La question peut toutefois être laissée ouverte en l'espèce. En effet, même en admettant un abattement de 20%, la comparaison du revenu d'invalide avec le revenu sans invalidité générerait une perte de gain, restant insuffisante pour ouvrir le droit à la rente.</w:t>
      </w:r>
    </w:p>
    <w:p>
      <w:r>
        <w:rPr>
          <w:b/>
        </w:rPr>
        <w:t>E. 23</w:t>
      </w:r>
    </w:p>
    <w:p>
      <w:r>
        <w:t>Aussi le recours ne peut-il être que rejeté.</w:t>
      </w:r>
    </w:p>
    <w:p>
      <w:r>
        <w:rPr>
          <w:b/>
        </w:rPr>
        <w:t>E. 24</w:t>
      </w:r>
    </w:p>
    <w:p>
      <w:r>
        <w:t>Bien que la procédure ne soit pas gratuite en matière d'assurance-invalidité (art. 69 al. 1bis LAI), il convient de renoncer à la perception d'un émolument, l'assuré étant au bénéfice de l'assistance juridique (art. 12 al. 1 du règlement sur les frais,</w:t>
      </w:r>
    </w:p>
    <w:p>
      <w:r>
        <w:t>A/3296/2013 - 18/19 - émoluments et indemnités en procédure administrative du 30 juillet 1986; RS E 510. 03).</w:t>
      </w:r>
    </w:p>
    <w:p>
      <w:r>
        <w:t>A/3296/2013 - 19/19 -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