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ATAS/256/2026 vom 24. März 2026</w:t>
      </w:r>
    </w:p>
    <w:p>
      <w:r>
        <w:t>GE Cour de justice, 2026-03-24, FR</w:t>
      </w:r>
    </w:p>
    <w:p>
      <w:r>
        <w:rPr>
          <w:b/>
        </w:rPr>
        <w:t xml:space="preserve">Quelle: </w:t>
      </w:r>
      <w:r>
        <w:t>https://mcp.opencaselaw.ch/entscheid/ge_gerichte_ATAS_256_2026</w:t>
      </w:r>
    </w:p>
    <w:p>
      <w:r>
        <w:t>FR: GE_GERICHTE ATAS/256/2026 du 24 mars 2026</w:t>
      </w:r>
    </w:p>
    <w:p>
      <w:r>
        <w:t>IT: GE_GERICHTE ATAS/256/2026 del 24 marzo 2026</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et compte tenu des féries judiciaires – prévus par la loi, le recours est recevable (art. 38 al. 4 et 56 ss LPGA et 62 ss de la loi sur la procédure administrative du 12 septembre 1985 [LPA - E 5 10]).</w:t>
      </w:r>
    </w:p>
    <w:p>
      <w:r>
        <w:rPr>
          <w:b/>
        </w:rPr>
        <w:t>E. 2.1</w:t>
      </w:r>
    </w:p>
    <w:p>
      <w:r>
        <w:t>Aux termes de l'art. 6 LAA, si la présente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2.2</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t>A/3143/2025 - 13/22 - Conformément à l’art. 18 al. 1 LAA – dans sa teneur en vigueur à compter du 1er janvier 2017 mais antérieure au 31 décembre 2023, seule applicable ici (cf. dans ce sens, les dispositions transitoires de l’art. 118 al. 1 et 2 let. a et c LAA) –, si l'assuré est invalide (art. 8 LPGA) à 10% au moins par suite d’un accident, il a droit à une rente d'invalidité, pour autant que l’accident soit survenu avant l’âge ordinaire de la retraite (« avant l’âge de référence » selon la version en vigueur depuis le 1er janvier 2024, qui renvoie à l’âge de 65 ans révolus fixé par l’art. 21 al. 1 de la loi fédérale sur l’assurance-vieillesse et survivants du 20 décembre 1946 [LAVS - RS 831.10]). À teneur de l'art. 19 al. 1 LAA,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 selon la version légale en vigueur dès le 1er janvier 2021 –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En parallèle à la question de la rente, en vertu de l’art. 24 LAA, si, par suite de l’accident, l’assuré souffre d’une atteinte importante et durable à son intégrité physique, mentale ou psychique, il a droit à une indemnité équitable pour atteinte à l’intégrité (IPAI ; al. 1). L’indemnité est fixée en même temps que la rente d’invalidité ou, si l’assuré ne peut prétendre une rente, lorsque le traitement médical est terminé. Le Conseil fédéral peut fixer la naissance du droit à un autre</w:t>
      </w:r>
    </w:p>
    <w:p>
      <w:r>
        <w:t>A/3143/2025 - 14/22 - moment dans les cas spéciaux, notamment en cas d’atteinte à la santé liée à l’inhalation de fibres d’amiante (al. 2).</w:t>
      </w:r>
    </w:p>
    <w:p>
      <w:r>
        <w:rPr>
          <w:b/>
        </w:rPr>
        <w:t>E. 2.3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2.3.1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2.3.2</w:t>
      </w:r>
    </w:p>
    <w:p>
      <w:r>
        <w:t>Sans remettre en cause le principe de la libre appréciation des preuves, le Tribunal fédéral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w:t>
      </w:r>
    </w:p>
    <w:p>
      <w:r>
        <w:t>A/3143/2025 - 15/22 -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En d’autres termes,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Selon une jurisprudence constante, les médecins d'arrondissement ainsi que les spécialistes du centre de compétence de la médecine des assurances de la SUVA sont considérés, de par leur fonction et leur position professionnelle, comme étant des spécialistes en matière de traumatologie, indépendamment de leur spécialisation médicale (arrêt du Tribunal fédéral 8C_626/2021 du 19 janvier 2022 consid. 4.3.1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(arrêt du Tribunal fédéral 8C_469/2020 du 26 mai 2021 consid. 3.2 et les références).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w:t>
      </w:r>
    </w:p>
    <w:p>
      <w:r>
        <w:t>A/3143/2025 - 16/22 -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2.5</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w:t>
      </w:r>
    </w:p>
    <w:p>
      <w:r>
        <w:t>A/3143/2025 - 17/22 - SVR 2010 IV n. 49 p. 151, consid. 3.5 ; arrêt du Tribunal fédéral 8C_760/2011 du 26 janvier 2012 consid. 3).</w:t>
      </w:r>
    </w:p>
    <w:p>
      <w:r>
        <w:rPr>
          <w:b/>
        </w:rPr>
        <w:t>E. 3.1</w:t>
      </w:r>
    </w:p>
    <w:p>
      <w:r>
        <w:t>En l’espèce, les prétendues « décisions » de la SUVA des 21 novembre 2022 et 13 juin 2023 ne portent en tout état de cause pas clairement sur le droit de l’assurée à des prestations de l’assurance-accidents objet du présent litige, à savoir des indemnités journalières (art. 16 al. 1 LAA) et une prise en charges du traitement médical (art. 10 al. 1 LAA), voire, en cas de stabilisation de l’état de santé au sens de l’art. 19 al. 1 LAA, une rente d’invalidité (art. 18 al. 1 LAA). Par décision du 1er mai 2025, confirmée par la décision sur opposition rendue le 30 juillet 2025, l’intimée confirme la fin du droit à toutes prestations de l’assurance-accidents à compter du 1er décembre 2022, la recourante étant selon elle apte à travailler à 100% dès cette date (cf. notamment art. 16 al. 2 LAA selon lequel le droit à l'indemnité journalière s’éteint entre autres dès que l’assuré a recouvré sa pleine capacité de travail, ce qui exclut de facto également une rente d’invalidité et même aussi, selon l’intimée, une prise en charge du traitement médical). Les questions présentement litigieuses sont dès lors en premier lieu celles de savoir quelle est la capacité de travail de l’intéressée au-delà du 30 novembre 2022 et, en cas d’éventuelle incapacité de travail totale ou partielle encore à partir du 1er décembre 2022, s’il y a un rapport de causalité avec l’accident du 30 juin 2022 ainsi que si et quand on pourrait le cas échéant considérer qu'il n'y aurait plus lieu d'attendre de la continuation du traitement médical une sensible amélioration de l'état de l'assuré et que les éventuelles mesures de réadaptation de l'AI auraient été menées à terme (cf. art. 19 al. 1, 1ère phr., LAA). Ce avant de déterminer de quelles prestations – indemnité journalière (art. 16 al. 1 LAA), prise en charges du traitement médical (art. 10 al. 1 LAA) ou, en cas de stabilisation de l’état de santé au sens de l’art. 19 al. 1 LAA, rente d’invalidité (art. 18 al. 1 LAA) et IPAI (art. 24 al. 1 LAA) – il pourrait le cas échéant s’agir. Du reste, la recourante conclut au fond principalement au maintien du versement des prestations d’assurance dues dès le 1er décembre 2022 et ce pour une durée indéterminée, donc sans préciser de quels types de prestations il s’agit ni exclure un éventuel droit à une IPAI, dont elle mentionne d’ailleurs la base légale (art. 24 al. LAA) dans son recours bien qu’en relation avec sa conclusion en maintien du versement des prestations d’assurance. Ainsi, l’objet du litige ne saurait être limité à la question d’un éventuel droit de l’assurée à une rente d’invalidité et/ou une IPAI comme l’écrit la caisse dans sa décision sur opposition attaquée (au motif que l’état de santé serait stabilisé au sens de l’art. 19 al. 1 LAA), mais il inclut aussi la question de l’indemnité journalière et de la prise en charges du traitement médical.</w:t>
      </w:r>
    </w:p>
    <w:p>
      <w:r>
        <w:t>A/3143/2025 - 18/22 -</w:t>
      </w:r>
    </w:p>
    <w:p>
      <w:r>
        <w:rPr>
          <w:b/>
        </w:rPr>
        <w:t>E. 3.2</w:t>
      </w:r>
    </w:p>
    <w:p>
      <w:r>
        <w:t>Pour ce qui est de l’examen au fond, il convient de relever que les médecins-conseils de la SUVA qui se sont prononcés – les Drs E______ au plan ophtalmologique, L______ au plan neurologique et G______ au plan psychiatrique – n’ont pas effectué d’examens cliniques de l’intéressée et que la caisse n’a pas mis en œuvre une expertise par un médecin indépendant selon la procédure de l’art. 44 LPGA. Ainsi, s'il existait un doute même minime sur la fiabilité et la validité des constatations de ces médecins de l'assurance, il y aurait lieu de procéder à des investigations complémentaires.</w:t>
      </w:r>
    </w:p>
    <w:p>
      <w:r>
        <w:rPr>
          <w:b/>
        </w:rPr>
        <w:t>E. 3.3</w:t>
      </w:r>
    </w:p>
    <w:p>
      <w:r>
        <w:t>Selon l’arrêt incident sur effet suspensif et mesures provisionnelles (ATAS/2/2026 précité), aucun des rapports des médecins ayant suivi l’assurée n’établit, avec une force probante sans aucune contestation possible, qu’elle subirait une incapacité de travail, de quelque degré que ce soit. Il est sur ce point relevé que le Dr C______, médecin généraliste traitant, qui semble être le seul médecin à avoir attesté de manière claire et sur une longue durée, au plan somatique, des incapacités de travail, n’est un spécialiste ni en ophtalmologie ni en neurologie.</w:t>
      </w:r>
    </w:p>
    <w:p>
      <w:r>
        <w:rPr>
          <w:b/>
        </w:rPr>
        <w:t>E. 3.4</w:t>
      </w:r>
    </w:p>
    <w:p>
      <w:r>
        <w:t>Il n’en demeure cependant pas moins que l’instruction médicale menée par l’intimée a été superficielle et très insuffisante, notamment pour les motifs qui suivent.</w:t>
      </w:r>
    </w:p>
    <w:p>
      <w:r>
        <w:rPr>
          <w:b/>
        </w:rPr>
        <w:t>E. 3.4.1</w:t>
      </w:r>
    </w:p>
    <w:p>
      <w:r>
        <w:t>Au plan ophtalmologique, le médecin-conseil ophtalmologue de la SUVA, le 28 février 2025, admet une certaine photophobie (éblouissements), mais nie immédiatement tout effet incapacitant. Ce toutefois sans motivation. Le Dr E______ ne se prononce pas non plus sur d’éventuelles conséquences incapacitantes, pas même des limitations fonctionnelles, du fait de la limitation de la vision à 50% (ou à 0.5) attestée notamment par les rapports du service d’ophtalmologie des HUG des 14 décembre 2022 et 27 février 2023, alors que, selon l’expérience générale de la vie, une telle limitation de la vision pourrait le cas échéant être de nature à gêner une personne dans l’accomplissement de certaines tâches à tout le moins.</w:t>
      </w:r>
    </w:p>
    <w:p>
      <w:r>
        <w:rPr>
          <w:b/>
        </w:rPr>
        <w:t>E. 3.4.2</w:t>
      </w:r>
    </w:p>
    <w:p>
      <w:r>
        <w:t>Au plan neurologique, les Dr L______, médecin-conseil neurologue de la SUVA, dans ses rapports rédigés en allemand les 14 juillet 2023 et 31 juillet 2024, ne retient pas, au degré de la vraisemblance prépondérante, l'existence d'une migraine chronicisée et résistante aux thérapies, qui pourrait le cas échéant justifier une incapacité de travail durable du point de vue neurologique. Selon lui, la migraine épisodique avec aura n'entraîne pas, sous l’angle temporel et des tâches, une limitation de la capacité de travail, hors des attaques intenses qui pourraient le cas échéant justifier une incapacité de travail à la journée. L’intimée déduit dans sa décision sur opposition querellée qu’une migraine épisodique intermittente ne constituerait pas une limitation de la capacité de travail, ce qu'aurait confirmé le neurologue J______ le 8 février 2023.</w:t>
      </w:r>
    </w:p>
    <w:p>
      <w:r>
        <w:t>A/3143/2025 - 19/22 - Or, d’une part, le médecin-conseil neurologue de la caisse ne dit rien sur la fréquence des attaques intenses qui pourraient le cas échéant justifier une incapacité de travail à la journée. D’autre part, contrairement à ce qu’indique la SUVA, le neurologue J______, les 9 janvier et 8 février 2023, décrit que la patiente présente deux à quatre crises par semaine de « céphalées en casque non pulsatiles d’une intensité de 9/10 lors de crise » et conclut à la présence effective de migraines ophtalmiques post-traumatiques qui restent importantes en fréquence et intensité. Selon lui, les migraines et les séquelles des troubles visuels influencent la capacité de travail, et, d'un point de vue neurologique, il n'y a pas de limitations fonctionnelles autres que l'impossibilité pour la patiente de travailler lorsqu'elle souffre d'une crise de migraine. Cela étant, il semble prima facie difficilement imaginable qu’une éventuelle impossibilité de travailler durant deux à quatre jours par semaine en raison d’attaques de céphalées n’entraîne pas de conséquences en matière de capacité de travail.</w:t>
      </w:r>
    </w:p>
    <w:p>
      <w:r>
        <w:rPr>
          <w:b/>
        </w:rPr>
        <w:t>E. 3.4.3</w:t>
      </w:r>
    </w:p>
    <w:p>
      <w:r>
        <w:t>Au plan psychiatrique, selon l’intimée dans sa décision sur opposition, le jet d’eau à haute pression reçu par la recourante dans son œil gauche le 30 juin 2022 est à classer dans les accidents de peu gravité. La caisse examine ensuite, par surabondance, les critères développés par la jurisprudence du Tribunal fédéral pour l’admission d’une éventuelle causalité adéquate dans l’hypothèse où l’événement accidentel susmentionné était considéré comme de gravité moyenne. Cela étant, on ne voit pas que le jet d’eau à haute pression reçu dans l’œil gauche de l’assurée, avec atteintes à l’œil, pourrait être comparable à une chute banale, exemple typique d’un accident de peu gravité (cf. à ce sujet ATF 115 V 403 consid. 5). On se trouve plutôt ici dans le cas à tout le moins d’un accident de gravité moyenne, qui nécessite de prendre en considération un certain nombre de critères (cf. à ce sujet ATF 115 V 133 consid. 6c/aa ; 115 V 403 consid. 5c/aa). Dans le cadre de l’examen desdits critères, c’est de façon insuffisamment motivée que la SUVA nie un caractère particulièrement impressionnant de l’accident, et la négation de la réalisation des autres critères par la caisse apparaît reposer sur un examen et une instruction des aspects ophtalmologique et neurologique qui, comme retenu un peu plus haut, sont très insuffisants. Il apparaît notamment prématuré de considérer déjà à ce stade, et selon les éléments médicaux actuellement à disposition, que la durée du traitement médical ne serait pas anormalement longue.</w:t>
      </w:r>
    </w:p>
    <w:p>
      <w:r>
        <w:rPr>
          <w:b/>
        </w:rPr>
        <w:t>E. 3.5</w:t>
      </w:r>
    </w:p>
    <w:p>
      <w:r>
        <w:t>Conformément à la jurisprudence citée plus haut, un renvoi à l'administration reste possible quand il est fondé uniquement sur une question restée complètement non instruite jusqu'ici. En l'occurrence, concernant à tout le moins les questions de la capacité de travail et des limitations fonctionnelles, l’instruction médicale de la cause s’avère très insuffisante.</w:t>
      </w:r>
    </w:p>
    <w:p>
      <w:r>
        <w:t>A/3143/2025 - 20/22 - Partant, la cause sera renvoyée à l’intimée pour instruction complémentaire approfondie de la situation médicale de la recourante ainsi que de son évolution et de ses effets, en matière notamment de capacité de travail, rendement et limitations fonctionnelles, et concernant également la question du rapport de causalité et celle de savoir si, à partir d’un certain moment, il n'y aurait le cas échéant plus lieu d'attendre de la continuation du traitement médical une sensible amélioration de l'état de l'assurée et si les éventuelles mesures de réadaptation de l'AI auraient été menées à terme (cf. art. 19 al. 1 LAA). Cette instruction médicale sera suivie d’un examen complet des conséquences économiques, puis une nouvelle décision sera rendue. Cette instruction complémentaire prendra en compte l'évolution de l'état de fait jusqu'au prononcé de la nouvelle décision qui sera rendue. Avec l’accord et la collaboration de l’assurée, la SUVA devra demander l’apport à l’OAI de l’entier du dossier AI. Si les éléments contenus dans le dossier AI ne permettaient pas à eux seuls une continuation de l’octroi de prestations selon la LAA au-delà du 30 novembre 2022, ladite instruction complémentaire comprendra une expertise (art. 44 LPGA), avec à tout le moins des volets ophtalmologique et neurologique, voire aussi dans tous autres domaines qui s’avéreraient le cas échéant pertinents. Les constatations et appréciations qui ressortiront de l’instruction complémentaire au plan somatique pourront le cas échéant avoir une influence sur l’analyse des critères développé par la jurisprudence du Tribunal en matière de troubles psychiques. De manière plus générale, la composante psychique des problèmes de santé de l’intéressée devra également être incluse dans l’instruction médicale, à charge pour l’intimée de déterminer notamment si l’expertise médicale devra aussi comprendre un éventuel volet psychiatrique. À cet égard, le jet d’eau à haute pression reçu dans l’œil gauche de l’assurée devra être considéré au moins comme un accident de gravité moyenne, et les critères développés par le Tribunal fédéral (cf. à ce sujet ATF 115 V 133 consid. 6c/aa ; 115 V 403 consid. 5c/aa) devront être examinés de manière circonstanciée et dans le cadre d’une instruction suffisante. Notamment, la SUVA devra examiner, si besoin en questionnant l’intéressée, si elle a ou non des douleurs physiques persistantes.</w:t>
      </w:r>
    </w:p>
    <w:p>
      <w:r>
        <w:rPr>
          <w:b/>
        </w:rPr>
        <w:t>E. 3.6</w:t>
      </w:r>
    </w:p>
    <w:p>
      <w:r>
        <w:t>Ce qui précède rend, dans le cadre de la présente procédure de recours, inutile une éventuelle audition par la chambre de céans des parties ainsi que de médecins en qualité de témoins.</w:t>
      </w:r>
    </w:p>
    <w:p>
      <w:r>
        <w:rPr>
          <w:b/>
        </w:rPr>
        <w:t>E. 4</w:t>
      </w:r>
    </w:p>
    <w:p>
      <w:r>
        <w:t>Vu ce qui précède, le recours sera partiellement admis (compte tenu de la conclusion principale du recours en octroi de prestations d’assurance dès le 1er décembre 2022), la décision sur opposition querellée sera annulée et la cause sera renvoyée à l'intimée pour instruction complémentaire et nouvelle décision, dans le sens des considérants.</w:t>
      </w:r>
    </w:p>
    <w:p>
      <w:r>
        <w:t>A/3143/2025 - 21/22 -</w:t>
      </w:r>
    </w:p>
    <w:p>
      <w:r>
        <w:rPr>
          <w:b/>
        </w:rPr>
        <w:t>E. 5</w:t>
      </w:r>
    </w:p>
    <w:p>
      <w:r>
        <w:t>janvier 2026, également pour la période qui s’étendra entre le prononcé du présent arrêt et la notification de la nouvelle décision à rendre par la caisse.</w:t>
      </w:r>
    </w:p>
    <w:p>
      <w:r>
        <w:rPr>
          <w:b/>
        </w:rPr>
        <w:t>E. 6</w:t>
      </w:r>
    </w:p>
    <w:p>
      <w:r>
        <w:t>La recourante obtenant en majeure partie gain de cause, une indemnité de CHF 2'500.- lui sera accordée à titre de participation à ses frais et dépens (art. 61 let. g LPGA ; art. 6 du règlement sur les frais, émoluments et indemnités en matière administrative du 30 juillet 1986 [RFPA - E 5 10.03]). La procédure est gratuite (art. 89H al. 1 LPA et vu l'art. 61 let. fbis LPGA).</w:t>
      </w:r>
    </w:p>
    <w:p>
      <w:r>
        <w:t>A/3143/2025 - 22/22 -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