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ATAS/256/2019 vom 27. März 2019</w:t>
      </w:r>
    </w:p>
    <w:p>
      <w:r>
        <w:t>GE Cour de justice, 2019-03-27, FR</w:t>
      </w:r>
    </w:p>
    <w:p>
      <w:r>
        <w:rPr>
          <w:b/>
        </w:rPr>
        <w:t xml:space="preserve">Quelle: </w:t>
      </w:r>
      <w:r>
        <w:t>https://mcp.opencaselaw.ch/entscheid/ge_gerichte_ATAS_256_2019</w:t>
      </w:r>
    </w:p>
    <w:p>
      <w:r>
        <w:t>FR: GE_GERICHTE ATAS/256/2019 du 27 mars 2019</w:t>
      </w:r>
    </w:p>
    <w:p>
      <w:r>
        <w:t>IT: GE_GERICHTE ATAS/256/2019 del 27 marzo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En l’occurrence, l’intimé a proposé le renvoi du dossier dans sa réponse au recours sans rendre de décision formelle en ce sens. Sa requête doit ainsi être considérée comme une proposition au juge. Il se justifie de l'accepter, dès lors qu'elle correspond à la conclusion du recourant. En conséquence, la décision querellée sera annulée et la cause renvoyée à l’OAI pour instruction complémentaire et nouvelle décision.</w:t>
      </w:r>
    </w:p>
    <w:p>
      <w:r>
        <w:rPr>
          <w:b/>
        </w:rPr>
        <w:t>E. 4</w:t>
      </w:r>
    </w:p>
    <w:p>
      <w:r>
        <w:t>Le recourant, représenté par un conseil, obtient gain de cause, de sorte qu’il a droit à une indemnité à titre de participation à ses frais et dépens, que la chambre de céans fixera à CHF 800.- (art. 89H al. 3 LPA; art. 6 du règlement sur les frais, émoluments et indemnités en procédure administrative du 30 juillet 1986; RFPA - E 5 10.03).</w:t>
      </w:r>
    </w:p>
    <w:p>
      <w:r>
        <w:rPr>
          <w:b/>
        </w:rPr>
        <w:t>E. 5</w:t>
      </w:r>
    </w:p>
    <w:p>
      <w:r>
        <w:t>Les frais de la procédure seront mis à la charge de l'intimé (art. 69 al. 1bis LAI).</w:t>
      </w:r>
    </w:p>
    <w:p>
      <w:r>
        <w:t>A/602/2019 - 3/3 -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