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ATAS/256/2016 vom 24. März 2016</w:t>
      </w:r>
    </w:p>
    <w:p>
      <w:r>
        <w:t>GE Cour de justice, 2016-03-24, FR</w:t>
      </w:r>
    </w:p>
    <w:p>
      <w:r>
        <w:rPr>
          <w:b/>
        </w:rPr>
        <w:t xml:space="preserve">Quelle: </w:t>
      </w:r>
      <w:r>
        <w:t>https://mcp.opencaselaw.ch/entscheid/ge_gerichte_ATAS_256_2016</w:t>
      </w:r>
    </w:p>
    <w:p>
      <w:r>
        <w:t>FR: GE_GERICHTE ATAS/256/2016 du 24 mars 2016</w:t>
      </w:r>
    </w:p>
    <w:p>
      <w:r>
        <w:t>IT: GE_GERICHTE ATAS/256/2016 del 24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prescris par la loi, le recours est recevable (art. 56 LPGA).</w:t>
      </w:r>
    </w:p>
    <w:p>
      <w:r>
        <w:rPr>
          <w:b/>
        </w:rPr>
        <w:t>E. 3</w:t>
      </w:r>
    </w:p>
    <w:p>
      <w:r>
        <w:t>L’objet du litige porte sur la question de savoir si la recourante présente une invalidité lui ouvrant le droit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A/640/2013 - 12/17 -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A/640/2013 - 13/17 -</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la recourante a fait l’objet d’une expertise pluridisciplinaire en avril 2011 au CEMed sur les plans neurologique et psychiatrique, ainsi que de la chirurgie orthopédique, à la demande de l'assureur-accidents. Dans les diagnostics, les médecins du CEMed retiennent un status après distorsion cervicale simple, d’évolution favorable, en date du 21 mai 2009, de status après nouvelle distorsion cervicale le 29 mars 2010 sans évidence d’atteinte structurelle du système nerveux</w:t>
      </w:r>
    </w:p>
    <w:p>
      <w:r>
        <w:t>A/640/2013 - 14/17 - central et périphérique, de cervico-brachialgies et troubles sensitivo-moteurs des deux membres supérieurs sans substrat somatique objectivable, d’un plan PEEK MC au niveau C5-C6 et C-6-C7, avec incertitude concernant la fusion des cervicales à ces niveaux et cervicalgies persistantes. Ils constatent aussi une laxité sagittale modérée et une chondropathie rétro-patellaire du genou gauche. Le cas n’est pas stabilisé et une stabilisation ne pourrait être définie qu’en cas de consolidation démontrée des arthrodèses ou de l’acceptation à long terme de la situation actuelle, sans autre traitement. L’incapacité de travail est conditionnée par l’état cervical. En tant qu’instructeur de plongée, l’incapacité de travail est totale. Pour l’activité de vendeuse, la capacité de travail dépend des charges à transporter. Dans un poste adapté, sans port de charge, une capacité de travail de 100 % peut être envisagée. Sur le plan neurologique, le Dr G______ constate qu’il n’y a aucune atteinte neurologique séquellaire. Les anomalies cliniques objectivables étant extrêmement modestes, il estime qu'il y a une discordance majeure entre les plaintes et ces anomalies. Cependant, l’expert en chirurgie orthopédique, le Dr E______, est plus nuancé. En premier lieu, il considère que la situation n’est pas stabilisée et qu’il faudrait procéder à des investigations complémentaires par des clichés fonctionnels, un scanner et une IRM. À l’époque de l’expertise, il n’y avait pas de fusion osseuse certaine aux niveaux opérés. Cependant, la question d’une reprise chirurgicale n’est pas simple, un certain nombre de patients choisissant d’accepter leurs problèmes et de ne pas être réopérés, dès lors que ces interventions ne sont pas sans risque et qu’un déficit de mobilité persistera. En outre, des décompensations au niveau disco-supérieur et inférieur peuvent survenir avec le temps. Selon l’expert psychiatre du CEMed, il n’y a pas d’affection psychiatrique particulière. Certes, il y a une forte irritabilité, mais celle-ci peut être en lien avec les douleurs. La recourante présente une bonne capacité adaptative et il n’y a pas de décompensation psychique manifeste. Quant à la présence d’un éventuel trouble somatoforme, l’expert psychiatre écarte ce diagnostic en l’absence d’éléments suggérant une telle affection. L’on n'observe notamment pas de rétrécissement du champ de la pensée sur les douleurs, ni de majoration des symptômes somatiques pour des raisons psychologiques. b. Quant aux expertises judiciaires, elles confirment la non-fusion au niveau cervical après l’opération de double Cloward. Les trois experts judiciaires concordent à dire que la capacité de travail ne dépasse pas 25 %, étant précisé que les experts P______ et Q______ considèrent même que la capacité de travail en tant que vendeuse ou dans une autre activité adaptée est nulle. Dans leur expertise complémentaire du 8 janvier 2016, ils précisent que la non-fusion osseuse entraîne une instabilité mécanique et est clairement reconnue dans la littérature comme une cause d’insatisfaction des patients et de douleurs cervicales type nucalgies, voire radiculopathies. Dans le cas de la recourante, une pseudarthrose des segments C5-</w:t>
      </w:r>
    </w:p>
    <w:p>
      <w:r>
        <w:t>A/640/2013 - 15/17 - C6 et C6-C7 est objectivée. Il y a également un œdème sur le corps vertébral de C6 et donc une réaction inflammatoire en lien avec une instabilité. L’ENMG ne permet pas d’exclure une radiculopathie irritative. Cela étant, ces experts considèrent que les plaintes de la recourante sont expliquées par le diagnostic de pseudarthrose, même en l’absence de déficit neurologique. Ses plaintes concordent donc avec le diagnostic de cervico-brachialgies bilatérales non déficitaires et non radiculaires sur pseudarthrose bi-étagée après discectomie cervicale et tentative de fusion selon Cloward. Il n’y a pas non plus d’amplification de la symptomatologie, ni discordance entre les plaintes subjectives et l’examen clinique. c. Les expertises judiciaires remplissent a priori tous les critères jurisprudentiels pour leur attribuer une pleine valeur probante. Contrairement à ce que le SMR indique dans son avis médical du 26 octobre 2015, leurs conclusions ne se fondent pas sur des éléments subjectifs, mais sur un diagnostic objectif de pseudarthrose au niveau cervical. Cela étant, les experts n’avaient aucune raison de rechercher des signes de non-organicité. Par ailleurs, dans leur expertise complémentaire, les Drs P______ et Q______ attestent d'une parfaite cohérence entre les plaintes subjectives et les atteintes objectivables. Il est au demeurant erroné de dire que des facteurs extra-médicaux, voire une exagération, sont clairement établis par l’expertise du CEMed, comme l’allègue la Dresse S______ du SMR. Seul le Dr G______ retient une telle discordance, en se fondant essentiellement sur l’absence d’atteintes neurologiques proprement dites. Il semble par ailleurs que cet expert n’ait pas pris en considération la non-fusion des cervicales. Or, selon les Drs P______ et Q______, la non-fusion osseuse entraîne une instabilité mécanique et provoque des douleurs cervicales type nucalgies, voire radiculopathie. Il est à relever également que le Dr G______ ne met pas en évidence une discordance ou une exagération des symptômes dans le comportement de la recourante. Il semble tirer sa conclusion uniquement du fait que les douleurs ne peuvent pas être expliquées au niveau neurologique. Enfin, aucun diagnostic n'a été retenu au niveau psychiatrique, ce qui permet d'écarter une origine non organique des douleurs. Il sied de relever aussi que l'appréciation des experts judiciaires de la capacité de travail confirme celle d'un autre spécialiste en neurochirurgie, le Dr D______, qui a toujours considéré que la capacité de travail n'était que de 25%. Cette appréciation de la capacité de travail est enfin convaincante du fait que, selon les experts, la recourante présente des limitations pour la station debout et le port de charges. Elle doit aussi avoir la possibilité de s'allonger pendant les heures de travail. De telles limitations ne sont guère compatibles avec une activité de vendeuse ou de gestion administrative dans l'économie normale. Cela étant, les conclusions des experts judiciaires emportent la conviction de la chambre de céans. Il apparaît au contraire que la Dresse S______ a substitué son appréciation à celle des experts judiciaires. Il n’y a pas non plus lieu de préférer aux</w:t>
      </w:r>
    </w:p>
    <w:p>
      <w:r>
        <w:t>A/640/2013 - 16/17 - expertises judiciaires celle du CEMed, dès lors que l’expert orthopédique dudit centre a clairement indiqué que la situation n’était pas stabilisée à l'époque de cette expertise et qu’il subsistait une incertitude concernant la non-fusion osseuse. Par conséquent, la chambre de céans se rallie aux conclusions des experts judiciaires, selon lesquels la capacité de travail ne dépasse pas 25 % dans une activité adaptée.</w:t>
      </w:r>
    </w:p>
    <w:p>
      <w:r>
        <w:rPr>
          <w:b/>
        </w:rPr>
        <w:t>E. 10</w:t>
      </w:r>
    </w:p>
    <w:p>
      <w:r>
        <w:t>Cela étant, il y a lieu de retenir que la recourante présente un taux d’invalidité d'au moins 75 %, dès lors qu'il n'est guère vraisemblable qu'elle puisse réaliser avec invalidité au taux d'activité de 25% un revenu supérieur à ce pourcentage par rapport au revenu à obtenu précédemment sans invalidité. Ainsi, le taux d'incapacité de travail se confond avec le taux d'invalidité. Ce taux lui ouvre le droit à une rente entière.</w:t>
      </w:r>
    </w:p>
    <w:p>
      <w:r>
        <w:rPr>
          <w:b/>
        </w:rPr>
        <w:t>E. 11</w:t>
      </w:r>
    </w:p>
    <w:p>
      <w:r>
        <w:t>Compte tenu de ce que la recourante a déposé sa demande de prestations de l’assurance-invalidité en septembre 2010, le droit à la rente naît le 1er mars 2011.</w:t>
      </w:r>
    </w:p>
    <w:p>
      <w:r>
        <w:rPr>
          <w:b/>
        </w:rPr>
        <w:t>E. 12</w:t>
      </w:r>
    </w:p>
    <w:p>
      <w:r>
        <w:t>La recourante obtenant entièrement gain de cause, une indemnité de CHF 3'500.- lui est octroyée à titre de dépens.</w:t>
      </w:r>
    </w:p>
    <w:p>
      <w:r>
        <w:rPr>
          <w:b/>
        </w:rPr>
        <w:t>E. 13</w:t>
      </w:r>
    </w:p>
    <w:p>
      <w:r>
        <w:t>Compte tenu de ce que la situation n’était pas stabilisée au moment de la décision querellée, comme cela ressort de l’expertise du CEMed, il appert par ailleurs que l’intimé aurait dû procéder à une instruction complémentaire avant de statuer sur le droit aux prestations. Dès lors que la chambre de céans s’est substituée à l’intimé et a procédé elle-même à cette instruction, il se justifie de mettre à sa charge les frais des expertises judiciaires de CHF 3'097.70.</w:t>
      </w:r>
    </w:p>
    <w:p>
      <w:r>
        <w:rPr>
          <w:b/>
        </w:rPr>
        <w:t>E. 14</w:t>
      </w:r>
    </w:p>
    <w:p>
      <w:r>
        <w:t>Enfin, l’intimé succombant, il devra supporter un émolument de justice fixé à CHF 500.-.</w:t>
      </w:r>
    </w:p>
    <w:p>
      <w:r>
        <w:t>A/640/2013 - 17/17 -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