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ATAS/256/2015 vom 26. März 2015</w:t>
      </w:r>
    </w:p>
    <w:p>
      <w:r>
        <w:t>GE Cour de justice, 2015-03-26, FR</w:t>
      </w:r>
    </w:p>
    <w:p>
      <w:r>
        <w:rPr>
          <w:b/>
        </w:rPr>
        <w:t xml:space="preserve">Quelle: </w:t>
      </w:r>
      <w:r>
        <w:t>https://mcp.opencaselaw.ch/entscheid/ge_gerichte_ATAS_256_2015</w:t>
      </w:r>
    </w:p>
    <w:p>
      <w:r>
        <w:t>FR: GE_GERICHTE ATAS/256/2015 du 26 mars 2015</w:t>
      </w:r>
    </w:p>
    <w:p>
      <w:r>
        <w:t>IT: GE_GERICHTE ATAS/256/2015 del 26 marzo 2015</w:t>
      </w:r>
    </w:p>
    <w:p>
      <w:pPr>
        <w:pStyle w:val="Heading2"/>
      </w:pPr>
      <w:r>
        <w:t>Erwägungen</w:t>
      </w:r>
    </w:p>
    <w:p>
      <w:r>
        <w:rPr>
          <w:b/>
        </w:rPr>
        <w:t>E. 1</w:t>
      </w:r>
    </w:p>
    <w:p>
      <w:r>
        <w:t>Conformément à l'art. 134 al. 1 let. a ch. 2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Les règles applicables sont celles en vigueur au moment où les faits juridiquement déterminants se sont produits (ATF 130 V 445), étant précisé que le juge n'a pas à</w:t>
      </w:r>
    </w:p>
    <w:p>
      <w:r>
        <w:t>A/4185/2013 - 11/19 - prendre en considération les modifications du droit ou de l'état de fait postérieures à la date déterminante de la décision litigieuse (ATF 129 V 1 consid. 1.2). La LPGA, entrée en vigueur le 1er janvier 2003, de même que les modifications de la LAI du 21 mars 2003 (4ème révision), entrée en vigueur le 1er janvier 2004, ont entraîné la modification de nombreuses dispositions légales dans le domaine de l'assurance-invalidité. Cela étant, les notions et les principes développés jusqu'alors par la jurisprudence en matière d’évaluation de l'invalidité n'ont pas été modifiés (ATF 130 V 343). Par ailleurs, la loi fédérale du 16 décembre 2005 modifiant la LAI entrée en vigueur le 1er juillet 2006 (RO 2006 2003) a apporté des modifications, notamment en matière de procédure (art. 52, 58 et 61 let. a LPGA).</w:t>
      </w:r>
    </w:p>
    <w:p>
      <w:r>
        <w:rPr>
          <w:b/>
        </w:rPr>
        <w:t>E. 3</w:t>
      </w:r>
    </w:p>
    <w:p>
      <w:r>
        <w:t>Interjeté dans les forme et délai légaux (art. 56 à 60 LPGA), le recours est recevable.</w:t>
      </w:r>
    </w:p>
    <w:p>
      <w:r>
        <w:rPr>
          <w:b/>
        </w:rPr>
        <w:t>E. 4</w:t>
      </w:r>
    </w:p>
    <w:p>
      <w:r>
        <w:t>Est litigieuse en l’espèce la question de savoir si les atteintes à la santé du recourant entraînent une perte de gain susceptible de lui ouvrir droit à des prestations de l’assurance-invalidité.</w:t>
      </w:r>
    </w:p>
    <w:p>
      <w:r>
        <w:rPr>
          <w:b/>
        </w:rPr>
        <w:t>E. 5</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w:t>
      </w:r>
    </w:p>
    <w:p>
      <w:r>
        <w:rPr>
          <w:b/>
        </w:rPr>
        <w:t>E. 6</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Lorsqu’en raison de l’inactivité de l’assuré, les données économiques font défaut, il y a lieu de se fonder sur les données d’ordre médical, dans la mesure où elles permettent d’évaluer la capacité de travail de l’intéressé dans des activités</w:t>
      </w:r>
    </w:p>
    <w:p>
      <w:r>
        <w:t>A/4185/2013 - 12/19 -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w:t>
      </w:r>
    </w:p>
    <w:p>
      <w:r>
        <w:rPr>
          <w:b/>
        </w:rPr>
        <w:t>E. 7</w:t>
      </w:r>
    </w:p>
    <w:p>
      <w:r>
        <w:t>Pour qu’une invalidité soit reconnue, il est nécessaire, dans chaque cas, qu’un diagnostic médical pertinent soit posé par un spécialiste et que soit mise en évidence une diminution importante de la capacité de travail (et de gain; ATF 127 V 299). Ainsi, pour pouvoir calculer le degré d'invalidité, l'administration (ou le juge, s'il y a eu un recours) a besoin de documents que le médecin, éventuellement aussi d'autres spécialistes, doivent lui fournir.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 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w:t>
      </w:r>
    </w:p>
    <w:p>
      <w:r>
        <w:rPr>
          <w:b/>
        </w:rPr>
        <w:t>E. 8</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w:t>
      </w:r>
    </w:p>
    <w:p>
      <w:r>
        <w:t>A/4185/2013 - 13/19 -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w:t>
      </w:r>
    </w:p>
    <w:p>
      <w:r>
        <w:rPr>
          <w:b/>
        </w:rPr>
        <w:t>E. 9</w:t>
      </w:r>
    </w:p>
    <w:p>
      <w:r>
        <w:t>Se basant sur le rapport d’expertise bidisciplinaire du CEMed, l’OAI a considéré que, si l’assuré n’était effectivement plus capable d’exercer son activité habituelle de chauffeur de taxi depuis janvier 2010, il avait en revanche recouvré, à compter de juin 2010, une pleine capacité à exercer une activité adaptée à ses limitations fonctionnelles, ce que le recourant conteste. Il convient en premier lieu d’examiner quelle valeur probante peut être reconnue à l’expertise pluridisciplinaire effectuée par les Drs I______, J______, et K______. On peut relever que les experts se sont livrés à une anamnèse précise et se sont fait l’écho des plaintes du recourant, avant de détailler leurs propres observations objectives. Leur rapport se fonde sur des examens cliniques du recourant, est établi en pleine connaissance du dossier et ses conclusions, dûment motivées, ne laissent pas apparaître de contradiction, si ce n’est que - comme l’a fait remarquer à juste titre le SMR dans son avis du 28 avril 2014 - les experts ne sont pas totalement explicites quant aux raisons pour lesquelles aucune limitation de rendement n’a été</w:t>
      </w:r>
    </w:p>
    <w:p>
      <w:r>
        <w:t>A/4185/2013 - 14/19 - retenue en lien avec les lésions inflammatoires au niveau lombaire. Il sera revenu sur ce point ultérieurement. Dans l’ensemble, il y a donc lieu de reconnaître pleine valeur probante à cette expertise, d'autant plus que l'ensemble des considérations émises par les médecins examinateurs sur le plan somatique est corroboré par les conclusions du Dr E______, qui s’était précédemment penché sur le dossier. Ainsi, les diagnostics retenus par les experts du CEMed (lombalgies chroniques avec sciatalgies droites intermittentes sur troubles dégénératifs étagés au niveau lombaire et gonalgies bilatérales) rejoignent ceux retenus par le Dr E______ (lombocruralgies droites dans le cadre de troubles statiques et dégénératifs du rachis lombaire, avec petite hernie discale L4-L5 non-compressive et un syndrome rotulien gauche), étant précisé que l’état des genoux du recourant s’est dégradé dans l’intervalle, ce qui n’est pas contesté. De même, les limitations fonctionnelles retenues par les experts du CEMed rejoignent celles du Dr E______ (éviter le port fréquent de charges de plus de 5 kg, le port occasionnel de charges de plus de 8 kg, les positions accroupie ou agenouillée, les flexions antérieures du tronc, les stations assises au-delà d’une heure, les stations debout au-delà de trente minutes, ainsi que l’exposition au froid, l’alternance, trois fois par heure, des positions assise et debout et le travail en porte- à-faux statique prolongé du tronc. La nécessité de devoir éviter le franchissement régulier d’escabeaux, échelles ou escaliers et les longs trajets à pied, omis par les experts du CEMed mais mentionné par le Dr E______, a été admise par le SMR et l’intimé (cf. avis du 28 avril 2014). Les experts du CEMed, comme le Dr E______ avant eux, ont conclu à une pleine capacité de travail dans une activité adaptée à ces limitations. Ni les diagnostics somatiques posés ni les limitations qu’ils engendrent ne sont réellement contestés par le médecin traitant, lequel critique en premier lieu l’évaluation des conséquences des dites atteintes sur la capacité de travail de son patient, qu’il estime à 50% tout au plus. Force est de constater que l’avis du Dr F______ ne constitue en fin de compte qu’une interprétation différente d’une même situation. Qui plus est, ce médecin s’est livré à des considérations ne relevant pas de son domaine (décompensation psychique, échelles de dépression et d’anxiété sans valeur si elles ne sont pas comparées à l’examen psychiatrique et ne pouvant être interprétées seules). Il n’en demeure pas moins que, sur un point, le SMR donne raison au médecin traitant : les experts du CEMed n’ont pas expliqué les raisons pour lesquelles ils ne retenaient aucune diminution de rendement en lien avec les lésions inflammatoires avérées au niveau des lombaires. A cet égard, le SMR a convenu qu’en cas de corrélation entre la clinique et l’imagerie, de telles lésions étaient de nature à entrainer une diminution de rendement de 20 à 30%. Or, la nouvelle imagerie réalisée par le Dr F______ à la demande de la Cour de céans a démontré cette</w:t>
      </w:r>
    </w:p>
    <w:p>
      <w:r>
        <w:t>A/4185/2013 - 15/19 - corrélation et a confirmé l’existence d’une composante inflammatoire bien visible et localisée déjà en 2010, augmentant nettement en 2012, puis régressant au niveau L4-L5, mais avec une tendance à s’étendre discrètement sur plusieurs autres vertèbres lombaires. Au vu des considérations qui précèdent et du fait que la situation a été suffisamment investiguée sur le plan somatique, il n’y a pas lieu de mettre sur pied une nouvelle expertise. La Cour de céans suivra donc les conclusions de l’expertise du CEMed, en reconnaissant cependant au recourant la diminution de rendement de 30% considérée comme admissible par le SMR en cas de corrélation des examens. D’autant que cette diminution de rendement se justifie également au vu des explications du médecin traitant quant à la « mise en route » difficile de son patient. Par ailleurs, la liste des limitations fonctionnelles retenues par le CEMed sera également complétée dans le sens proposé par le SMR (éviter les montées et descentes d’escaliers régulières, les déplacements en terrain instable et les longues marches). Ainsi que le fait remarquer le médecin traitant, les limitations fonctionnelles finalement retenues sont nombreuses. Cependant, on ne saurait en conclure qu'elles excluent toute activité : la jurisprudence considère qu'au vu du large éventail d'activités simples et répétitives (qui correspondent à un emploi léger respectant les limitations fonctionnelles observées) que recouvre le marché du travail en général - et le marché du travail équilibré en particulier - (arrêt I 383/06 du 5 avril 2007 consid. 4.4), un nombre significatif d'entre elles, ne nécessitant aucune formation spécifique, sont adaptées aux problèmes physiques du recourant. Au demeurant, elles sont, en règle générale, disponibles indépendamment de l'âge de l'intéressé sur le marché équilibré du travail (arrêts 9C_646/2010 du 23 février 2011 consid. 4 et 8C_657/2010 du 19 novembre 2010 consid. 5.2.3). Pour ce qui est du plan psychique, les experts du CEMed n’ont retenu qu’un épisode dépressif léger, contrairement au psychiatre traitant qui, lui, conclut à un épisode dépressif d’intensité variant de moyenne à sévère, en raison de l’intensité des symptômes et du retrait social, notamment. Si le psychiatre traitant exprime son désaccord quant aux constatations cliniques de l’expert psychiatre qui, à son avis, a banalisé les symptômes observés, force est de constater qu’il n’amène aucun élément objectif susceptible de faire douter des conclusions des experts. Sur ce point, il convient donc de suivre les conclusions des experts. En définitive, c’est donc une capacité résiduelle de travail de 100%, diminuée de 30%, qui doit être reconnue à l’assuré dans une activité adaptée aux limitations fonctionnelles énumérées plus haut et ce, dès le 14 septembre 2010 - date à laquelle la consolidation de la fracture du coccyx a été avérée. Auparavant, conformément aux conclusions du Dr E______, la capacité du recourant a été de 0% du 1er janvier</w:t>
      </w:r>
    </w:p>
    <w:p>
      <w:r>
        <w:t>A/4185/2013 - 16/19 - au 5 juillet 2010, de 50% jusqu’au 22 août 2010, puis à nouveau de 0% jusqu’au 14 septembre 2010. C’est par ailleurs en vain que le recourant invoque son âge (56 ans au moment de l’ouverture éventuelle du droit). Le Tribunal fédéral a en effet estimé, dans le cas qu’un assuré, âgé de 58 ans lors de l'ouverture éventuelle du droit, respectivement de 60 ans au moment de la décision litigieuse, n'avait pas atteint le seuil à partir duquel la jurisprudence considère généralement qu'il n'existe plus de possibilité réaliste d'exploiter la capacité résiduelle de travail sur un marché du travail supposé équilibré (cf. arrêts 9C_695/2010 du 15 mars 2011, 9C_1043/2008 du 2 juillet 2009 consid. 3.3, 9C_651/2008 du 9 octobre 2009 consid. 6.2.2.2). A l'instar de l'assuré ayant fait l'objet de cette jurisprudence, le recourant n'a pas atteint le seuil à partir duquel on peut admettre qu'il n'aurait plus la possibilité de réintégrer le marché du travail. Quant à la péjoration ultérieure, alléguée par le recourant et le Dr F______, elle sort du cadre du litige soumis à la Cour de céans dans la mesure où elle remonte au 4 février 2014 et est donc postérieure à la décision litigieuse. Si cette aggravation devait se confirmer, il appartiendrait au recourant de saisir l’intimé d’une nouvelle demande.</w:t>
      </w:r>
    </w:p>
    <w:p>
      <w:r>
        <w:rPr>
          <w:b/>
        </w:rPr>
        <w:t>E. 10</w:t>
      </w:r>
    </w:p>
    <w:p>
      <w:r>
        <w:t>Il convient à présent de se prononcer sur le calcul du taux d'invalidité effectué par l'intimé. a) Conformément à l'art. 28 al. 1 LAI, l'assuré a droit à un quart de rente s'il est invalide à 40% au moins, à une demi-rente s’il est invalide à 50%, à un trois-quarts de rente si son invalidité atteint au moins 60% et à une rente entière si son degré d’invalidité atteint 70%.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w:t>
      </w:r>
    </w:p>
    <w:p>
      <w:r>
        <w:t>A/4185/2013 - 17/19 -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avait été en bonne santé (ATF 129 V 224 consid. 4.3.1 et la référence). Il doit être évalué de manière aussi concrète que possible si bien qu'il convient, en règle générale, de se référer au dernier salaire que l'assuré a obtenu avant l'atteinte à la santé. Il convient encore de rappeler l'obligation pour l'assuré de diminuer le dommage. Il s'agit là d'un principe général du droit des assurances sociales (ATF 129 V 463 consid. 4.2, 123 V 233 consid. 3c, 117 V 278 consid. 2b, 400 et les arrêts cités). Le juge ne peut dès lors pas se fonder simplement sur le travail que l'assuré a fourni ou s'estime lui-même capable de fournir depuis le début de son incapacité de travail, ceci pour éviter que le recourant soit tenté d'influencer à son profit, le degré de son invalidité (ATF 106 V 86 consid. 2 p. 87). b) En l’espèce, le recourant a travaillé plusieurs années comme chauffeur de taxi indépendant. Pour déterminer son revenu au moment de l’ouverture éventuelle du droit aux prestations, soit en 2010, l’intimé s’est référé au rassemblement des comptes individuels AVS de l’intéressé, retenant les meilleures années antérieures à l’atteinte à la santé et indexant la moyenne ainsi obtenue. Cette façon de faire est correcte et les renseignements obtenus pertinents, puisque le montant ainsi retenu se rapproche du salaire déterminant au sens de l’AVS. Cette manière de procéder est bien plus concrète que celle proposée par le recourant, qui consisterait à retenir le montant de ses « produits d’exploitation » pour l’année 2010, postérieure à l’atteinte à sa santé.</w:t>
      </w:r>
    </w:p>
    <w:p>
      <w:r>
        <w:t>Sur ce point, il n’y a pas lieu de s’écarter du montant de CHF 27'191.- retenu par l’intimé. En revanche, s’agissant du revenu après invalidité, il y a lieu de tenir compte d’une diminution de rendement de 30%, conformément à ce qui a été exposé supra. Si l’on se base sur l’ESS 2010 (TA1, niveau 4 = CHF 4’901.-/mois pour 40h./sem. = CHF 5'097.-/mois pour 41,6 h./sem. = CHF 61'164.50 par an à plein temps = CHF 42'815.- à 70%), cela correspond à un revenu final de CHF 32'111.-, après réduction supplémentaire de 25% telle qu’admise par l’intimé.</w:t>
      </w:r>
    </w:p>
    <w:p>
      <w:r>
        <w:t>A/4185/2013 - 18/19 -</w:t>
      </w:r>
    </w:p>
    <w:p>
      <w:r>
        <w:t>Force est de constater que la comparaison des deux montants ainsi obtenus conduit à un degré d’invalidité de 0%, de sorte que c’est à juste titre que l’intimé a nié à l’assuré le droit à toute prestation.</w:t>
      </w:r>
    </w:p>
    <w:p>
      <w:r>
        <w:t>Eu égard aux considérations qui précèdent, le recours est rejeté.</w:t>
      </w:r>
    </w:p>
    <w:p>
      <w:r>
        <w:t>A/4185/2013 - 19/19 -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