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ATAS/256/2014 vom 4. März 2014</w:t>
      </w:r>
    </w:p>
    <w:p>
      <w:r>
        <w:t>GE Cour de justice, 2014-03-04, FR</w:t>
      </w:r>
    </w:p>
    <w:p>
      <w:r>
        <w:rPr>
          <w:b/>
        </w:rPr>
        <w:t xml:space="preserve">Quelle: </w:t>
      </w:r>
      <w:r>
        <w:t>https://mcp.opencaselaw.ch/entscheid/ge_gerichte_ATAS_256_2014</w:t>
      </w:r>
    </w:p>
    <w:p>
      <w:r>
        <w:t>FR: GE_GERICHTE ATAS/256/2014 du 4 mars 2014</w:t>
      </w:r>
    </w:p>
    <w:p>
      <w:r>
        <w:t>IT: GE_GERICHTE ATAS/256/2014 del 4 marzo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w:t>
      </w:r>
    </w:p>
    <w:p>
      <w:r>
        <w:t>A/3250/2013 - 11/22 - 1er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12 septembre 2013 est postérieure à l'entrée en vigueur des modifications de la LAI suscitées. Par conséquent, du point de vue matériel, le droit éventuel à des prestations d'invalidité doit être examiné au regard des modifications de la LAI consécutives aux 4ème, 5ème 6ème révisions de cette loi, dans la mesure de leur pertinence (ATF 130 V 445 et les références; voir également ATF 130 V 329).</w:t>
      </w:r>
    </w:p>
    <w:p>
      <w:r>
        <w:rPr>
          <w:b/>
        </w:rPr>
        <w:t>E. 4</w:t>
      </w:r>
    </w:p>
    <w:p>
      <w:r>
        <w:t>Interjeté dans la forme et le délai prévus par la loi, le recours est recevable (art. 56ss LPGA ; art. 89B de la loi sur la procédure administrative du 12 septembre 1985 [LPA; RSG E 5 10]).</w:t>
      </w:r>
    </w:p>
    <w:p>
      <w:r>
        <w:rPr>
          <w:b/>
        </w:rPr>
        <w:t>E. 5</w:t>
      </w:r>
    </w:p>
    <w:p>
      <w:r>
        <w:t>Le litige porte sur le droit de la recourante à l’obtention d’une rente d’invalidité et sur le bien-fondé de l’interruption des mesures professionnelles.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A/3250/2013 - 12/22 -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consid. 4.2.2 ; ATF non publié 9C_387/2009 du 5 octobre 2009, consid. 3.2). Parmi les autres critères déterminants, doivent être considérés comme pertinents, un processus maladif s'étendant sur plusieurs années sans rémission durable</w:t>
      </w:r>
    </w:p>
    <w:p>
      <w:r>
        <w:t>A/3250/2013 - 13/22 -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9</w:t>
      </w:r>
    </w:p>
    <w:p>
      <w:r>
        <w:t>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w:t>
      </w:r>
    </w:p>
    <w:p>
      <w:r>
        <w:rPr>
          <w:b/>
        </w:rPr>
        <w:t>E. 12</w:t>
      </w:r>
    </w:p>
    <w:p>
      <w:r>
        <w:t>En l’espèce, sur la base du rapport du SMR, lui-même fondé sur les rapports d’expertise rhumatologique et psychiatrique, l'intimé a considéré que la capacité de travail résiduelle médicalement exigible de la recourante était de 100% dans une activité sérielle de l’industrie légère et a fixé le degré d’invalidité à 6%, de sorte qu’il lui a nié tout droit à une rente ou à un reclassement. La recourante conteste cette appréciation et soutient que sa capacité de travail est nulle comme l’attestent ses médecins-traitants.</w:t>
      </w:r>
    </w:p>
    <w:p>
      <w:r>
        <w:rPr>
          <w:b/>
        </w:rPr>
        <w:t>E. 13</w:t>
      </w:r>
    </w:p>
    <w:p>
      <w:r>
        <w:t>Il convient dès lors de se déterminer en premier lieu sur la valeur probante de ces différents rapports médicaux. a) S’agissant du volet somatique, la Cour de céans observe que le diagnostic posé par le Dr F____________ dans son rapport du 7 décembre 2010, soit celui de cervicalgies chroniques aspécifiques et de minimes discopathies C5-C6 et C6-C7, s’apparente à celui du médecin-traitant, lequel a fait état de cervico-brachialgies bilatérales sur des discopathies C5-6 et C6-7 (rapport du Dr A____________ du 21 juin 2010). Leurs avis divergent cependant sur les contre-indications engendrées par cette atteinte ainsi que sur l’incapacité de travail qui en découle. L’expert a en effet considéré que seules doivent être évitées les activités répétitives de flexion- extension et de rotations de la nuque, alors que le médecin-traitant a mentionné des restrictions beaucoup plus importantes concernant, entre autres, les positions assise, debout, penchée, accroupie, les rotations, ou encore le port de charges et le travail avec les bras au-dessus de la tête. En outre, si l’expert a estimé à 70% la capacité de travail dans l’activité habituelle et à 100% dans une activité respectant les contre- indications, ajoutant que la recourante pourrait recouvrer une capacité de travail complète dans son activité habituelle en pratiquant des exercices de mobilisation douce au niveau cervical, le médecin-traitant a quant à lui attesté d’une totale incapacité de travail dans l’ancienne activité de caissière-ouvrière depuis le mois de mars 2009 et a réservé son pronostic en matière d’une activité adaptée. La Cour de céans observe que le rapport d’expertise du Dr F____________ est basé sur une anamnèse et une analyse complètes du dossier de l’intimé. L’état de santé de la recourante a fait l’objet d’examens approfondis, notamment de radiographies complémentaires, ses plaintes ont été prises en compte et le spécialiste a procédé à une discussion et à une appréciation du cas détaillées. Il s’est prononcé sur la capacité de travail de la recourante dans son activité habituelle d’ouvrière en horlogerie ou de caissière en supermarché, et a clairement défini ses limitations fonctionnelles. Il a dûment expliqué et motivé son point du vue et ses conclusions sont cohérentes et convaincantes. Par ailleurs, la Cour de céans remarque que son</w:t>
      </w:r>
    </w:p>
    <w:p>
      <w:r>
        <w:t>A/3250/2013 - 16/22 - appréciation rejoint celle du Dr C____________, lequel n’avait retenu aucun diagnostic ayant un effet sur la capacité de travail et n’avait constaté qu’une petite limitation cervicale non gênante au quotidien. Ce médecin avait même conclu que l’activité habituelle était encore exigible (rapport du 27 septembre 2010). Eu égard à la jurisprudence précitée, la Cour de céans constate qu’aucun indice concret ne permet de douter du bien-fondé des conclusions de l’expert. La recourante ne prétend au demeurant pas que ce dernier aurait ignoré des éléments objectivement vérifiables dans le cadre de son examen. Etant rappelé la différence de mandat entre un médecin-traitant et un expert, la Cour de céans fera siennes les conclusions du rapport du Dr F____________ auquel elle reconnaît une pleine valeur probante. b) Sur le plan psychiatrique, le Dr I____________ a retenu, dans son expertise du</w:t>
      </w:r>
    </w:p>
    <w:p>
      <w:r>
        <w:rPr>
          <w:b/>
        </w:rPr>
        <w:t>E. 15</w:t>
      </w:r>
    </w:p>
    <w:p>
      <w:r>
        <w:t>Il convient à présent de fixer le degré d’invalidité de la recourante.</w:t>
      </w:r>
    </w:p>
    <w:p>
      <w:r>
        <w:rPr>
          <w:b/>
        </w:rPr>
        <w:t>E. 16</w:t>
      </w:r>
    </w:p>
    <w:p>
      <w:r>
        <w:t>Selon l’art. 28 al. 2 LAI, l’assuré a droit à une rente entière s’il est invalide à 70% au moins, à un trois-quarts de rente s'il est invalide à 60% au moins, à une demi-</w:t>
      </w:r>
    </w:p>
    <w:p>
      <w:r>
        <w:t>A/3250/2013 - 18/22 - rente s’il est invalide à 50% au moins, ou à un quart de rente s’il est invalide à 40% au moins.</w:t>
      </w:r>
    </w:p>
    <w:p>
      <w:r>
        <w:rPr>
          <w:b/>
        </w:rPr>
        <w:t>E. 17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18</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c) La mesure dans laquelle les salaires ressortant des statistiques doivent être réduits, dépend de l'ensemble des circonstances personnelles et professionnelles du cas particulier (limitations liées au handicap, âge, années de service,</w:t>
      </w:r>
    </w:p>
    <w:p>
      <w:r>
        <w:t>A/3250/2013 - 19/22 -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ATF non publié 8C_337/2009 du 18 février 2010, consid. 7.5).</w:t>
      </w:r>
    </w:p>
    <w:p>
      <w:r>
        <w:rPr>
          <w:b/>
        </w:rPr>
        <w:t>E. 19</w:t>
      </w:r>
    </w:p>
    <w:p>
      <w:r>
        <w:t>En l’espèce, dans la mesure où la recourante a déposé sa demande de prestations au mois de mai 2010 en raison d’atteintes à la santé ayant engendré une incapacité de travail depuis le mois de mars 2009, il convient de se placer en 2010 pour procéder à la comparaison des revenus. S’agissant du revenu sans invalidité, il y a lieu de se référer à l’extrait du compte individuel (ci-après CI) de la recourante, à défaut d’indications précises de l’employeur concernant le dernier salaire perçu. Le CI révèle un salaire de 48'914 fr. en 2008. Ce montant doit être indexé à 2010 selon l’évolution des salaires en termes nominaux (2008: 2'499 et 2010: 2'579 ; Evolution des salaires nominaux, des prix à la consommation et des salaires réels, 1976-2011), ce qui donne un revenu sans invalidité de 50'479 fr. 90. Concernant le revenu avec invalidité, le salaire de référence est celui auquel peuvent prétendre les femmes effectuant des activités simples et répétitives (niveau de qualification 4) dans le secteur privé, à savoir 50’700 fr. par année (4'225 fr. x 12 ; ESS 2010, TA1). Au regard du large éventail d’activités simples et répétitives que recouvrent les secteurs de la production et des services, on doit en effet convenir qu’un certain nombre d’entre elles sont légères et adaptées aux limitations de la recourante. Comme les salaires bruts standardisés tiennent compte d’un horaire de travail de 40 heures, soit une durée hebdomadaire inférieure à la moyenne usuelle dans les entreprises en 2010 (41,6 heures ; La Vie économique, 12-2013, B9.2), ce montant doit être porté à 52’728 fr. (50'700 fr. x 41.6 heures : 40 heures). L’intimé a tenu compte d’une réduction de 10% en raison des limitations fonctionnelles. Etant rappelé que le juge ne peut, sans motif pertinent, substituer son appréciation à celle de l'administration, le salaire d’invalide est fixé à 47'455 fr. 20, après calcul de l’abattement de 10%, ce qui donne un degré d’invalidité de 6%. La Cour de céans remarquera encore à l’attention de la</w:t>
      </w:r>
    </w:p>
    <w:p>
      <w:r>
        <w:t>A/3250/2013 - 20/22 - recourante que même en tenant compte de la déduction globale maximum de 25%, son degré d’invalidité ne serait que de 21,7%, degré insuffisant pour lui ouvrir le droit à une rente. Partant, le taux d’invalidité de 6% est confirmé, de sorte que c’est à bon droit que l’intimé a nié à la recourante un droit à une rente, ainsi qu’à un reclassement. Les conclusions principales de la recourante seront donc rejetées.</w:t>
      </w:r>
    </w:p>
    <w:p>
      <w:r>
        <w:rPr>
          <w:b/>
        </w:rPr>
        <w:t>E. 20</w:t>
      </w:r>
    </w:p>
    <w:p>
      <w:r>
        <w:t>Concernant les mesures de réadaptation, la Cour de céans rappelle que l’intimé a mis en place un stage d’orientation auprès de l’entreprise PRO afin de déterminer quelle activité pourrait être exercée par la recourante et permettre à cette dernière d’augmenter progressivement son taux d’occupation, compte tenu du fait qu’elle n’avait plus travaillé depuis 2009. Bien que la décision litigieuse ne prononce pas formellement l’interruption de ce stage, elle retient que la capacité de travail de la recourante ne peut pas être exploitée en raison d’un manque de motivation et de la présentation d’un certificat médical d’arrêt de travail reconductible, et que des mesures professionnelles ne sont pas indiquées. Se pose donc la question de savoir si c’est à bon droit que l’intimé a mis un terme à la mesure de réadaptation qu’il avait décidé d’octroyer à la recourante.</w:t>
      </w:r>
    </w:p>
    <w:p>
      <w:r>
        <w:rPr>
          <w:b/>
        </w:rPr>
        <w:t>E. 21</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w:t>
      </w:r>
    </w:p>
    <w:p>
      <w:r>
        <w:rPr>
          <w:b/>
        </w:rPr>
        <w:t>E. 22</w:t>
      </w:r>
    </w:p>
    <w:p>
      <w:r>
        <w:t>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(ATFA I 605/04 du</w:t>
      </w:r>
    </w:p>
    <w:p>
      <w:r>
        <w:t>A/3250/2013 - 21/22 - 11 janvier 2005, consid. 2 et les références, publié in SVR 2005 IV n° 30 p. 113; voir également ATFA non publié I 552/06 du 13 juin 2006, consid. 4).</w:t>
      </w:r>
    </w:p>
    <w:p>
      <w:r>
        <w:rPr>
          <w:b/>
        </w:rPr>
        <w:t>E. 23</w:t>
      </w:r>
    </w:p>
    <w:p>
      <w:r>
        <w:t>En l’occurrence, il ressort des pièces figurant au dossier administratif de l’intimé que ce dernier a omis de procéder à la mise en demeure formelle requise par la loi. La cause doit donc lui être renvoyée afin qu'il statue à nouveau sur la poursuite de cette mesure d'ordre professionnel après avoir procédé à la sommation légale prévue à l'art. 21 al. 4 LPGA. En ce sens, le recours se révèle bien fondé.</w:t>
      </w:r>
    </w:p>
    <w:p>
      <w:r>
        <w:rPr>
          <w:b/>
        </w:rPr>
        <w:t>E. 24</w:t>
      </w:r>
    </w:p>
    <w:p>
      <w:r>
        <w:t>Partant, le recours sera partiellement admis et la décision annulée, en ce sens que l’intimé ne pouvait pas interrompre les mesures professionnelles sans mettre au préalable la recourante en demeure. La recourante, représentée par un conseil et obtenant partiellement gain de cause, a droit à une indemnité à titre de participation à ses frais et dépens, que la Cour de céans fixe en l’espèce à 750 fr. (art. 61 let. g LPGA et 89H al. 1 LPA). Un émolument de 200 fr. sera mis à la charge de l’intimé (art. 69 al. 1bis LAI).</w:t>
      </w:r>
    </w:p>
    <w:p>
      <w:r>
        <w:t>A/3250/2013 - 22/22 -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