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ATAS/255/2022 vom 21. März 2022</w:t>
      </w:r>
    </w:p>
    <w:p>
      <w:r>
        <w:t>GE Cour de justice, 2022-03-21, FR</w:t>
      </w:r>
    </w:p>
    <w:p>
      <w:r>
        <w:rPr>
          <w:b/>
        </w:rPr>
        <w:t xml:space="preserve">Quelle: </w:t>
      </w:r>
      <w:r>
        <w:t>https://mcp.opencaselaw.ch/entscheid/ge_gerichte_ATAS_255_2022</w:t>
      </w:r>
    </w:p>
    <w:p>
      <w:r>
        <w:t>FR: GE_GERICHTE ATAS/255/2022 du 21 mars 2022</w:t>
      </w:r>
    </w:p>
    <w:p>
      <w:r>
        <w:t>IT: GE_GERICHTE ATAS/255/2022 del 21 marzo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d'espèce est ainsi établie ; Qu’interjeté dans les forme et délai prévus par la loi (art. 38 et 56 ss LPGA), le recours est recevable ; Que par nouvelle décision du 8 février 2022, le SPC a annulé et remplacé la décision querellée, donnant droit aux prétentions de la recourante ; Qu’en application de l’art. 53 al. 3 LPGA, jusqu’à l'envoi de son préavis à l’autorité de recours, l’intimé peut reconsidérer sa décision ; Que dans sa réponse du 8 février 2022, le SPC a conclu à ce que la cause soit déclarée sans objet ; Qu’à teneur des pièces du dossier, cette solution est conforme au droit ;</w:t>
      </w:r>
    </w:p>
    <w:p>
      <w:r>
        <w:t>A/153/2022 - 3/4 - Que la recourante, par l’intermédiaire de son mandataire, a acquiescé ; Qu’il y a lieu de constater que l’assurée a ainsi obtenu satisfaction ; Que le recours est, dès lors, devenu sans objet ; Qu’il convient de rayer la cause du rôle ; Que lorsque le recours est déclaré sans objet, la recourante peut prétendre à des dépens, pour autant que les chances de succès telles qu'elles se présentaient avant que le recours ne devienne sans objet le justifient (arrêt du Tribunal fédéral 9C 372/2011 du 12 avril 2012) ; Que compte tenu d’un mémoire de recours de son mandataire, de dix-huit pages, et d’un courrier d’une page, l’intimé se verra condamné à payer à la recourante une indemnité d’un montant de CHF 1'800.- à titre de participation à ses frais ; Que pour le surplus, la procédure est gratuite.</w:t>
      </w:r>
    </w:p>
    <w:p>
      <w:r>
        <w:t>A/153/2022 - 4/4 -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