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ATAS/254/2021 vom 25. März 2021</w:t>
      </w:r>
    </w:p>
    <w:p>
      <w:r>
        <w:t>GE Cour de justice, 2021-03-25, FR</w:t>
      </w:r>
    </w:p>
    <w:p>
      <w:r>
        <w:rPr>
          <w:b/>
        </w:rPr>
        <w:t xml:space="preserve">Quelle: </w:t>
      </w:r>
      <w:r>
        <w:t>https://mcp.opencaselaw.ch/entscheid/ge_gerichte_ATAS_254_2021</w:t>
      </w:r>
    </w:p>
    <w:p>
      <w:r>
        <w:t>FR: GE_GERICHTE ATAS/254/2021 du 25 mars 2021</w:t>
      </w:r>
    </w:p>
    <w:p>
      <w:r>
        <w:t>IT: GE_GERICHTE ATAS/254/2021 del 25 marzo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Le 1er janvier 2017 est entrée en vigueur la modification du 25 septembre 2015 de la LAA.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à compter du 1er janvier 2017.</w:t>
      </w:r>
    </w:p>
    <w:p>
      <w:r>
        <w:rPr>
          <w:b/>
        </w:rPr>
        <w:t>E. 5</w:t>
      </w:r>
    </w:p>
    <w:p>
      <w:r>
        <w:t>Le délai de recours est de trente jours (art. 56 LPGA; art. 62 al. 1 de la de loi sur la procédure administrative du 12 septembre 1985 [LPA - E 5 10]). Interjeté dans la forme et le délai prévus par la loi, le recours est recevable.</w:t>
      </w:r>
    </w:p>
    <w:p>
      <w:r>
        <w:rPr>
          <w:b/>
        </w:rPr>
        <w:t>E. 6</w:t>
      </w:r>
    </w:p>
    <w:p>
      <w:r>
        <w:t>Le litige porte sur le droit aux prestations du recourant au-delà du 9 octobre 2018, singulièrement sur la question de savoir si les troubles au genou gauche à compter de cette date sont en lien de causalité avec l’accident du 25 juin 2018.</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A/2588/2019 - 12/20 -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8</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w:t>
      </w:r>
    </w:p>
    <w:p>
      <w:r>
        <w:t>A/2588/2019 - 13/20 -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11</w:t>
      </w:r>
    </w:p>
    <w:p>
      <w:r>
        <w:t>a. La plupart des éventualités assurées (par exemple la maladie, l'accident, l'incapacité de travail, l'invalidité, l'atteinte à l'intégrité physique ou mentale) supposent l'instruction de faits d'ordre médical. Or, pour pouvoir établir le droit de</w:t>
      </w:r>
    </w:p>
    <w:p>
      <w:r>
        <w:t>A/2588/2019 - 14/20 -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w:t>
      </w:r>
    </w:p>
    <w:p>
      <w:r>
        <w:t>A/2588/2019 - 15/20 - ces avis et il y a lieu de mettre en œuvre une expertise par un médecin indépendant selon la procédure de l'art. 44 LPGA ou une expertise judiciaire (ATF 135 V 465 consid. 4;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w:t>
      </w:r>
    </w:p>
    <w:p>
      <w:r>
        <w:t>A/2588/2019 - 16/20 -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w:t>
      </w:r>
    </w:p>
    <w:p>
      <w:r>
        <w:rPr>
          <w:b/>
        </w:rPr>
        <w:t>E. 14</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w:t>
      </w:r>
    </w:p>
    <w:p>
      <w:r>
        <w:t>A/2588/2019 - 17/20 - (ATF 117 V 283 consid. 4a; RAMA 1985 p. 240 consid. 4; arrêt du Tribunal fédéral des assurances I 751/03 du 19 mars 2004 consid. 3.3).</w:t>
      </w:r>
    </w:p>
    <w:p>
      <w:r>
        <w:rPr>
          <w:b/>
        </w:rPr>
        <w:t>E. 15</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16</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w:t>
      </w:r>
    </w:p>
    <w:p>
      <w:r>
        <w:rPr>
          <w:b/>
        </w:rPr>
        <w:t>E. 17</w:t>
      </w:r>
    </w:p>
    <w:p>
      <w:r>
        <w:t>En l’espèce, le recourant a été victime d’un accident le 25 juin 2018, suite auquel il a souffert de lombalgies et d’un hématome au mollet gauche. Il a été mis en arrêt de travail durant trois mois. L’intimée a initialement octroyé des prestations en lien avec ledit accident. Trois semaines après la reprise du travail, soit dès le 9 octobre 2018, le recourant s’est à nouveau retrouvé en incapacité de travail totale. Après divers examens médicaux ont été mises en évidence la disparition des affections musculaires, mais la présence de lésions au ménisque gauche. L’intimée a refusé d’allouer des prestations d’assurance en lien avec les troubles du genou gauche et la nouvelle incapacité de travail, au motif qu’aucun lien de causalité certain ou au moins probable ne pouvait être établi avec l’accident du 25</w:t>
      </w:r>
    </w:p>
    <w:p>
      <w:r>
        <w:t>A/2588/2019 - 18/20 - juin 2018, se fondant sur l’avis du Dr H______, selon lequel les fissures méniscales décrites dans le rapport d’IRM du 18 décembre 2018 évoquaient une pathologie globale et donc dégénérative, tout comme l’infiltration mucoïde du LCA et la dysplasie fémoro-patellaire bilatérale, toutes susceptibles d’attester d’une dégénérescence globale du genou gauche. Le recourant conteste cette position en se fondant quant à lui sur l’avis du Dr G______, qui estime que les lésions musculaires, tout comme l’anomalie de signal du ménisque externe sont d’origine traumatique. Le dossier contient plusieurs appréciations des Drs G______ et J______, toujours contradictoires : dans son rapport du 17 octobre 2019, le Dr G______ considère que les anomalies de signal de la corne antérieure du ménisque externe gauche du recourant peuvent être d’origine traumatique comme dégénérative. Par ailleurs, contrairement à la Dresse J______, il estime que l’apparition des kystes méniscaux est possiblement une suite de l’accident, le recourant ayant commencé à se plaindre du genou plusieurs mois après l’accident, ce qui correspond au développement des kystes post-traumatiques. Il soutient par ailleurs que l’hypothèse dégénérative paraît peu probable chez un patient de 28 ans. Il explique également que le mécanisme de l’accident correspond à un choc externe sur la jambe gauche et un mouvement de valgus du genou, lequel a pu produire une sorte d’écrasement du ménisque, en particulier de sa corne antérieure. À cela, la Dresse J______ répond dans son rapport du 12 novembre 2019 que le mécanisme de l’accident a effectivement pu produire une sorte d’écrasement du ménisque, mais que ce type de mécanisme engendre une atteinte interne, et non interne et externe. Diverses questions complémentaires ont été posées au Dr G______, dont les réponses ont été commentées par la Dresse J______. Selon le premier, l’anomalie de signal de la corne antérieure du ménisque peut être post-traumatique et les douleurs externes de la jambe gauche sont les séquelles des lésions musculaires causées par l’accident de juin 2018. Il n’y a selon lui pas d’atteinte traumatique du ménisque interne, qui ne présentait pas de lésion ; le mécanisme de l’accident met en évidence une souffrance du ménisque externe (mouvement en valgus du genou gauche où le ménisque interne n’a pas été touché). La Dresse J______ considère au contraire que l’IRM de décembre 2018 confirme bien une atteinte des deux ménisques, à savoir une fissure horizontale du ménisque externe et une anomalie de signal du ménisque interne, ce qui parle clairement en faveur du caractère dégénératif de cette atteinte. Ces deux atteintes sont de même type et correspondent à une altération qualitative de la substance méniscale, aboutissant à une interruption de la continuité de la trame tissulaire se traduisant par l’apparition de kystes méniscaux et de fissures horizontales. Au vu des avis toujours divergents de ces deux médecins spécialistes sur la nature des atteintes au ménisque et donc sur la cause des lésions - le Dr G______ estimant que le ménisque interne n’a pas été touché et que le mécanisme de l’accident a</w:t>
      </w:r>
    </w:p>
    <w:p>
      <w:r>
        <w:t>A/2588/2019 - 19/20 - entraîné une compression du ménisque externe, alors que la Dresse J______ soutient que la lésion des ménisques interne et externe serait la preuve d’une lésion dégénérative - la Cour de céans n’est pas en mesure de déterminer, au degré de la vraisemblance prépondérante requis, la cause – accidentelle ou dégénérative – des lésions. En effet, même si le Dr G______ n’est pas complètement affirmatif sur le lien de causalité entre l’accident et l’atteinte au genou gauche, le fait qu’il conteste l’existence d’une atteinte au ménisque interne engendre des doutes sur la valeur probante du rapport de la Dresse J______, qui fonde principalement sa thèse – selon laquelle l’atteinte dont souffre le recourant serait d’origine dégénérative – sur la prétendue double atteinte (interne et externe) du ménisque interne. Dans ces circonstances, il convient de renvoyer le dossier à l’intimée afin que celle- ci mette en œuvre une expertise par un médecin indépendant, spécialiste en chirurgie orthopédique et traumatologie de l’appareil locomoteur, selon la procédure de l'art. 44 LPGA. Il conviendra d’inviter l’expert à répondre aux questions que la Cour de céans a posées le 18 février 2020 au Dr G______, relatives à la nature de l’atteinte au genou gauche du recourant et à l’existence d’un lien de causalité entre cette atteinte et l’événement assuré. En particulier, il conviendra que l’expert précise si le lien de causalité entre les atteintes constatées et l’accident du 25 juin 2018 est seulement possible (probabilité de moins de 50 %), probable (probabilité de plus de 50 %) ou certain (probabilité de 100 %). En ce sens, le recours est partiellement admis et la décision sur opposition de l’intimée du 6 juin 2019 annulée. Le dossier est renvoyé à l’intimée pour la mise en œuvre d’une expertise administrative indépendante.</w:t>
      </w:r>
    </w:p>
    <w:p>
      <w:r>
        <w:rPr>
          <w:b/>
        </w:rPr>
        <w:t>E. 18</w:t>
      </w:r>
    </w:p>
    <w:p>
      <w:r>
        <w:t>Le recourant, représenté par un conseil, obtenant partiellement gain de cause, une indemnité de CHF 2'500.- lui est accordée à titre de participation à ses frais et dépens (art. 61 al. 1 let. g LPGA ; art. 89H ak, 3 LPA ; art. 6 du règlement sur les frais, émoluments et indemnités en matière administrative du 30 juillet 1986 [RFPA - E 5 10.03]. Pour le surplus, la procédure est gratuite (art. 61 let. a LPGA).</w:t>
      </w:r>
    </w:p>
    <w:p>
      <w:r>
        <w:t>A/2588/2019 - 20/20 -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