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ATAS/254/2020 vom 31. März 2020</w:t>
      </w:r>
    </w:p>
    <w:p>
      <w:r>
        <w:t>GE Cour de justice, 2020-03-31, FR</w:t>
      </w:r>
    </w:p>
    <w:p>
      <w:r>
        <w:rPr>
          <w:b/>
        </w:rPr>
        <w:t xml:space="preserve">Quelle: </w:t>
      </w:r>
      <w:r>
        <w:t>https://mcp.opencaselaw.ch/entscheid/ge_gerichte_ATAS_254_2020</w:t>
      </w:r>
    </w:p>
    <w:p>
      <w:r>
        <w:t>FR: GE_GERICHTE ATAS/254/2020 du 31 mars 2020</w:t>
      </w:r>
    </w:p>
    <w:p>
      <w:r>
        <w:t>IT: GE_GERICHTE ATAS/254/2020 del 31 marzo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arrêt du Tribunal fédéral U_18/07 du</w:t>
      </w:r>
    </w:p>
    <w:p>
      <w:r>
        <w:rPr>
          <w:b/>
        </w:rPr>
        <w:t>E. 7</w:t>
      </w:r>
    </w:p>
    <w:p>
      <w:r>
        <w:t>S’agissant du taux de conversion applicable pour le calcul de la fortune immobilière et de la valeur locative y relative, il y a lieu d’appliquer les directives concernant les prestations complémentaires à l’AVS et l’AI (ci-après : DPC). Le chiffre 2087.1 des DPC prévoyait dans sa version 2010, que pour les rentes et pensions versées en devises d’États parties à la Convention de libre passage CH-UE et à l’Accord de l’AELE, les taux de conversion applicables étaient ceux fixés par la Commission administrative des communautés européennes pour la sécurité sociale des travailleurs migrants et publiés au Journal officiel de l’Union européenne (ci-après : JOUE). Le cours de conversion applicable était le cours déterminant du début de l’année correspondante. Depuis le 1er janvier 2013, le taux de conversion, selon le chiffre 3452.01 DPC, correspond au cours du jour fixé par la Banque centrale européenne. À cet égard,</w:t>
      </w:r>
    </w:p>
    <w:p>
      <w:r>
        <w:t>A/857/2019 - 12/19 - est déterminant le dernier cours du jour disponible du mois qui précède immédiatement le début du droit à la prestation. Bien que ces directives concernent les rentes servies, elles sont applicables par analogie aux autres éléments composant les revenus déterminants tels que la fortune immobilière (cf. ATAS/1146/2019 du 9 décembre 2019).</w:t>
      </w:r>
    </w:p>
    <w:p>
      <w:r>
        <w:rPr>
          <w:b/>
        </w:rPr>
        <w:t>E. 8</w:t>
      </w:r>
    </w:p>
    <w:p>
      <w:r>
        <w:t>Sur le plan cantonal, selon l’art. 4 LPCC, ont droit aux prestations complémentaires cantonales les personnes dont le revenu annuel déterminant n’atteint pas le revenu minimum cantonal d’aide sociale applicable. Le revenu déterminant est calculé conformément aux règles fixées dans la LPC, moyennant certaines adaptations, en particulier la part de fortune nette prise en compte est non pas d’un dixième mais d’un cinquième pour les bénéficiaires de rente de vieillesse (art. 5 let. c LPCC).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7 LPCC, la fortune comprend la fortune mobilière et immobilière définie par la loi fédérale et ses dispositions d’exécution (al. 1). La fortune est évaluée selon les règles de la loi sur l’imposition des personnes physiques, du 27 septembre 2009, à l’exception des règles concernant les diminutions de la valeur des immeubles et les déductions sociales sur la fortune, prévues aux art. 50 let. e et 58 de ladite loi, qui ne sont pas applicables. Les règles d’évaluation prévues par la loi fédérale et ses dispositions d’exécution sont réservées (al. 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w:t>
      </w:r>
    </w:p>
    <w:p>
      <w:r>
        <w:rPr>
          <w:b/>
        </w:rPr>
        <w:t>E. 10</w:t>
      </w:r>
    </w:p>
    <w:p>
      <w:r>
        <w:t>En l’espèce, la recourante conteste la prise en compte de la valeur de l’usufruit constitué en sa faveur sur la maison de Fillinges, dont ses enfants sont les nu- propriétaires, motif pris que cette maison, inhabitée depuis vingt ans, ne serait pas entretenue, totalement insalubre et qu’il serait impossible d’en tirer un quelconque profit, à tout le moins sans travaux de remise en état importants. Or, conformément à la jurisprudence précitée, un droit d'usufruit en faveur de la personne qui demande des prestations complémentaires représente pour sa titulaire</w:t>
      </w:r>
    </w:p>
    <w:p>
      <w:r>
        <w:t>A/857/2019 - 13/19 - une valeur économique, dans la mesure où elle obtient ainsi une prestation dont elle ne pourrait, à défaut, bénéficier sans engager d'autres moyens financiers. Le fait que des investissements importants sont nécessaires pour la mise en location de l'immeuble n’est à cet égard pas pertinent (cf. arrêt du Tribunal fédéral 9C_599/2014 du 14 janvier 2014 consid. 4.2.2). N’est pas non plus déterminant le fait que la recourante a renoncé à l’usufruit. En effet, dans la mesure où la renonciation a été effectuée sans obligation juridique ni contre-prestation, étant précisé qu’il ne ressort pas de l’acte notarié du 27 octobre 1989 que l’exercice du droit d’usufruit ne pourrait pas être transféré à un tiers (cf. ég. les art. 582 et 584 du Code civil français, applicables en vertu du renvoi de l’art. 99 al. 1 de la loi fédérale sur le droit international privé [LDIP ; RS 291] au droit du lieu de situation de l’immeuble), il s’agit d’un dessaisissement au sens de l’art. 11 al. 1 let. g LPC. Or, d’après cette disposition, les ressources et parts de fortune dont un ayant droit s’est dessaisi sont compris dans les revenus déterminants. Pour le surplus, la recourante ne conteste pas la valeur locative, estimée à EUR 3’548.- par l’autorité fiscale française, et ne produit aucun document indiquant que la prise en compte d’un loyer lui serait plus favorable. C’est partant à bon droit que l’intimé a déterminé la valeur économique de l’usufruit sur la base de la valeur locative du bien grevé et qu’il a tenu compte corrélativement – dans les dépenses reconnues – d’un montant correspondant à 20 % de cette valeur (cf. ci-dessus : consid. 5c/bb). S’agissant de la conversion de la valeur locative française en francs suisses, les taux mentionnés dans la décision entreprise correspondent bien, pour les années 2013 à 2018, aux taux pertinents (ci- dessus : consid. 7). En revanche, il n’en va pas de même des taux de 1.34524 et 1.22953 que l’intimé a retenus pour 2011, respectivement 2012 ; la Commission administrative des communautés européennes pour la sécurité sociale de travailleurs migrants les a en effet fixés à CHF 1.27794 au début de l’année 2011, respectivement à CHF 1.21079 au début de l’année 2012 (cf. JOUE des 4 février 2011 et 9 février 2012). Quoi qu’il en soit, la modification des plans de calcul – favorable à la recourante – qui en découle pour 2011 et 2012 n’empêche pas la somme des dépenses reconnues de demeurer inférieure au total du revenu déterminant sur les deux années en question. Quant aux autres éléments du calcul effectué par l’intimé, ils ne sont pas contestés par la recourante, et n’apparaissent pas non plus contestables au regard des pièces du dossier. Il en va notamment ainsi de la non prise en compte des 9/24 du bien immobilier situé en Italie et d’un éventuel revenu locatif y relatif (cf. ci-dessus : consid. 6b in fine). En effet, la valeur de ce bien, additionnée au montant de l’épargne, n’atteint pas la franchise de CHF 37’500.- prévue à l’art. 11 al. 1 let. c LPC et l’expertise italienne versée au dossier atteste d’une valeur locative nulle. Au vu de ce qui précède, le calcul opéré par l’intimé n’est pas critiquable et la décision entreprise s’avère conforme au droit en tant qu’elle tient compte, dans les revenus déterminants, de la valeur locative de la maison dont la recourante est</w:t>
      </w:r>
    </w:p>
    <w:p>
      <w:r>
        <w:t>A/857/2019 - 14/19 - usufruitière en France et, dans les dépenses reconnues, d’un montant correspondant à 20 % de cette valeur.</w:t>
      </w:r>
    </w:p>
    <w:p>
      <w:r>
        <w:rPr>
          <w:b/>
        </w:rPr>
        <w:t>E. 11</w:t>
      </w:r>
    </w:p>
    <w:p>
      <w:r>
        <w:t>Il reste à examiner si l’intimé a respecté les délais de péremption légaux.</w:t>
      </w:r>
    </w:p>
    <w:p>
      <w:r>
        <w:rPr>
          <w:b/>
        </w:rPr>
        <w:t>E. 12</w:t>
      </w:r>
    </w:p>
    <w:p>
      <w:r>
        <w:t>a. S’agissant des prestations complémentaires fédérales, l’art. 25 LPGA prescrit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Au niveau cantonal, l’art. 24 al. 1, 1ère phrase LPCC prévoit que les prestations indûment touchées doivent être restituées. Selon l’art. 28 LPCC, le délai de prescription est également d’un an dès la connaissance du fait, mais au plus tard cinq ans après le versement de la prestation. La LPCC ne prescrit pas que, si la créance naît d’un acte punissable pour lequel le droit pénal prévoit un délai de prescription plus long, celui-ci est déterminant. Toutefois, l’art. 25 al. 2 LPGA s’applique dans le silence de la loi en vertu de l’art. 1A al. 1 let. b LPCC. b. Selon la jurisprudence, une demande de restitution implique que soient réunies les conditions d’une reconsidération (cf. art. 53 al. 2 LPGA) ou d’une révision procédurale (cf. art. 53 al. 1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 Lorsque le versement indu résulte d’une violation de l’obligation de renseigner au sens des articles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 SVR 1995 IV n° 58 p. 165). d.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C.271/04 du 21 mars 2006 consid. 2.5). À cet égard, la date de la remise de l’acte conservatoire au bureau de poste fait foi (cf. ATF 119 V 89 consid. 4c).</w:t>
      </w:r>
    </w:p>
    <w:p>
      <w:r>
        <w:t>A/857/2019 - 15/19 -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w:t>
      </w:r>
    </w:p>
    <w:p>
      <w:r>
        <w:rPr>
          <w:b/>
        </w:rPr>
        <w:t>E. 13</w:t>
      </w:r>
    </w:p>
    <w:p>
      <w:r>
        <w:t>a. Lorsqu’il statue sur la créance de l’administration en restitution de prestations complémentaires fédérales indûment versées, le juge peut examiner, à titre préjudiciel, si les circonstances correspondant à une infraction pénale sont réunies et, partant, si un délai de prescription plus long que les délais relatifs et absolus prévus par l’art. 25 al. 2 LPGA est applicable (ATAS/914/2012 du 19 juillet 212 ; ATAS/3/2012 du 10 janvier 2012). Pour que le délai de prescription plus long prévu par le droit pénal s’applique, il n’est pas nécessaire que l’auteur de l’infraction ait été condamné (ATF 118 V 193 consid. 4a ; 113 V 256 consid. 4a ; voir également ATF 122 III 225 consid. 4). b. Dans le domaine des prestations complémentaires, ce sont principalement les art. 31 LPC, 92 LAMAL et 146 du Code pénal suisse du 21 décembre 1937 (CP ; RS 311.0) ainsi que l’art. 148a CP, depuis son entrée en vigueur en date du 1er octobre 2016,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(arrêt du Tribunal fédéral 6S.288/2000 du 28 septembre 2000, consid. 2) et prévoit une peine pécuniaire n’excédant pas 180 jours-amendes pour la violation du devoir d’informer. Quant à l’art. 146 al. 1 CP, il sanctionne l’infraction d’escroquerie d’une peine privative de liberté de cinq ans au plus ou d’une peine pécuniaire. L’art. 31 al. 1 LPC prévoit qu’est puni, à moins qu’il ne s’agisse d’un crime ou d’un délit frappé d’une peine plus élevée par le code pénal,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(let. d). L’infraction visée à l’art. 31 al. 1 LPC consiste en l’obtention du paiement de prestations complémentaires par des indications trompeuses. Cette infraction est</w:t>
      </w:r>
    </w:p>
    <w:p>
      <w:r>
        <w:t>A/857/2019 - 16/19 -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dol éventuel au sens de l’art. 12 al. 2, 2ème phrase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(cf. ATF 140 IV 11 consid. 2.3.2 et 2.4.1 et les références citées ;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 11 consid. 2.4 ; 131 IV 83 consid. 2.1.3). c.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w:t>
      </w:r>
    </w:p>
    <w:p>
      <w:r>
        <w:t>A/857/2019 - 17/19 -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et consid. 2.4.6 in fine ; voir également arrêt du Tribunal fédéral 6B_791/2013 du 3 mars 2014 consid. 3.1.1).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 (ATF 131 IV 83 consid. 2.2 et 2.5 ; arrêt du Tribunal fédéral 9C_232/2013 du 13 décembre 2013, consid. 4.1.3). d. En l’absence d’un jugement pénal, il appartient au juge administratif d’examiner à titre préjudiciel si les circonstances correspondant à une infraction pénale sont réunies. Ce faisant, ce sont les exigences en matière de preuve dans la procédure pénale qui sont applicables, de sorte que le degré de vraisemblance prépondérante applicable en assurances sociales ne suffit pas. L’autorité qui invoque le délai de prescription pénale doit en tous les cas produire des éléments démontrant le comportement punissable (ATF 138 V 74 consid. 6.1). Un acte punissable au sens de l’art. 25 al. 2, 2ème phrase LPGA, suppose la réunion des éléments tant objectifs que subjectifs de l’infraction (arrêt du Tribunal fédéral 8C_213/2016 du 4 novembre 2016 consid. 5.2). e. Selon l’art. 97 al. 1 CP, dans sa teneur en vigueur depuis le 1er janvier 2014, l’action pénale se prescrit par trente ans si l’infraction était passible d’une peine privative de liberté à vie, par quinze ans si elle est passible d’une peine privative de liberté de plus de trois ans, par dix ans si elle est passible d’une peine privative de liberté de trois ans et par sept ans, si la peine maximale encourue est une autre peine. Auparavant, l’action pénale se prescrivait par quinze ans si elle était passible d’une peine privative de liberté de plus de trois ans, et par sept ans, si la peine maximale encourue était une autre peine. Le délai de prescription de l’action pénale pour une infraction telle que celle décrite aux art. 31 LPC et 92 LAMal est donc de sept ans, celui d’une infraction à l’art. 146 al. 1 CP de quinze ans.</w:t>
      </w:r>
    </w:p>
    <w:p>
      <w:r>
        <w:rPr>
          <w:b/>
        </w:rPr>
        <w:t>E. 14</w:t>
      </w:r>
    </w:p>
    <w:p>
      <w:r>
        <w:t>En l’occurrence, la découverte de l’existence du bien immobilier en Italie, respectivement de l’usufruit constitué en faveur de la recourante sur un autre bien</w:t>
      </w:r>
    </w:p>
    <w:p>
      <w:r>
        <w:t>A/857/2019 - 18/19 - situé en France, constituent des faits nouveaux autorisant l’intimé à réviser sa décision. En rendant trois décisions de restitution le 17 mai 2018, soit environ deux mois après avoir pris connaissance de ces biens, l’intimé a agi dans le délai relatif d’une année. Quant au délai de péremption de sept ans retenu par l’intimé, il ne peut qu’être confirmé. En effet, la recourante n’a pas donné à l’intimé toutes les informations sur sa fortune immobilière, alors même qu’elle avait reçu chaque année, un document intitulé « communication importante », lui rappelant son obligation de renseigner l’intimé notamment sur sa situation financière. S’il est vrai que ce n’est qu’à partir de la communication adressée en décembre 2014 (pce 87 intimé) que l’intimé a précisé que cette obligation portait également sur l’augmentation ou réduction des revenus et/ou de la fortune immobilière en Suisse et à l’étranger, il n’en demeure pas moins que l’obligation d’annoncer la totalité de sa fortune et revenus ressort de façon claire des documents que la recourante a reçus, même avant décembre 2014, en particulier du formulaire de demande de prestations qu’elle a complété le 20 janvier 1999 suite au décès de son mari (pce 23 intimé). En effet, sous let. c (« votre patrimoine »), ledit formulaire l’invitait à indiquer notamment si elle était propriétaire ou usufruitière d’un bien immobilier, ce à quoi elle avait répondu par la négative, déclarant être uniquement titulaire d’un compte bancaire. Il s’ensuit qu’en renonçant à déclarer le bien immobilier sis en Italie, respectivement l’usufruit constitué en sa faveur sur une maison située en France, la recourante s’est rendue coupable d’une violation des art. 31 al. 1 let. a et d LPC, chaque année, entre 1999 et 2018. L’intimé était ainsi en droit de recalculer le droit aux prestations de la recourante depuis le 1er juin 2011. La créance en restitution de CHF 10’863.-est, partant, fondée.</w:t>
      </w:r>
    </w:p>
    <w:p>
      <w:r>
        <w:rPr>
          <w:b/>
        </w:rPr>
        <w:t>E. 15</w:t>
      </w:r>
    </w:p>
    <w:p>
      <w:r>
        <w:t>Compte tenu de ce qui précède, le recours doit être rejeté. Représentée par un avocat mais n’obtenant pas gain de cause, la recourante n’a pas droit à des dépens (art. 61 let. g LPGA a contrario). Pour le surplus, la procédure est gratuite (art. 61 let. a LPGA). *****</w:t>
      </w:r>
    </w:p>
    <w:p>
      <w:r>
        <w:t>A/857/2019 - 19/19 -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