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ATAS/254/2017 vom 3. April 2017</w:t>
      </w:r>
    </w:p>
    <w:p>
      <w:r>
        <w:t>GE Cour de justice, 2017-04-03, FR</w:t>
      </w:r>
    </w:p>
    <w:p>
      <w:r>
        <w:rPr>
          <w:b/>
        </w:rPr>
        <w:t xml:space="preserve">Quelle: </w:t>
      </w:r>
      <w:r>
        <w:t>https://mcp.opencaselaw.ch/entscheid/ge_gerichte_ATAS_254_2017</w:t>
      </w:r>
    </w:p>
    <w:p>
      <w:r>
        <w:t>FR: GE_GERICHTE ATAS/254/2017 du 3 avril 2017</w:t>
      </w:r>
    </w:p>
    <w:p>
      <w:r>
        <w:t>IT: GE_GERICHTE ATAS/254/2017 del 3 aprile 2017</w:t>
      </w:r>
    </w:p>
    <w:p>
      <w:pPr>
        <w:pStyle w:val="Heading2"/>
      </w:pPr>
      <w:r>
        <w:t>Erwägungen</w:t>
      </w:r>
    </w:p>
    <w:p>
      <w:r>
        <w:rPr>
          <w:b/>
        </w:rPr>
        <w:t>E. 9</w:t>
      </w:r>
    </w:p>
    <w:p>
      <w:r>
        <w:t>Reste toutefois à examiner si les conditions d'application de l'art. 48 al. 2 LAI, qui consacre une exception au principe de l'alinéa précédent, peuvent être invoquées par le recourant. Il ressort de la jurisprudence et la doctrine mentionnées précédemment (ci-dessus p.13) au sujet de l'art. 48 al. 2 LAI (ATF 100 V 119 sv. consid. 2c; RCC 1984 p. 420 sv. consid. 1; Michel VALTERIO, op.cit. n°3233 ss) que cette disposition n'est pas applicable aux faits que l'assuré connaissait mais dont il ne pouvait subjectivement pas saisir la portée. Or, dans le cas particulier le recourant, et avant lui sa mère voire son entourage, notamment les médecins traitants, les Drs E______ et F______ se trouvaient tout au plus dans la situation où les faits pouvant le cas échéant ouvrir droit à des prestations leur étaient connus, mais il(s) ne pouvai(en)t subjectivement pas en saisir la portée – ce qui serait tout de même assez surprenant de la part des médecins susnommés, dont le premier avait confirmé à réitérées reprises que l'assuré ne devait pas être considéré comme impotent, ce que l'intimé pouvait légitimement admettre sans autre et de bonne foi. Il résulte en effet de l'examen, dans la chronologie, de tous les éléments recueillis au dossier que l'administration ne saurait se voir reprocher de n’avoir pas vu – avant la demande formelle de prestations d'impotent en 2016, que l’assuré avait bel et bien droit à des prestations et, de ce fait, de n’avoir pas pris de décision sur ce point, de sorte que les principes dégagés de la directive (ch. 2029 CIIAI) susmentionnée – p.15 - ne lui sont pas opposables.</w:t>
      </w:r>
    </w:p>
    <w:p>
      <w:r>
        <w:rPr>
          <w:b/>
        </w:rPr>
        <w:t>E. 10</w:t>
      </w:r>
    </w:p>
    <w:p>
      <w:r>
        <w:t>Au sujet du grief de violation du devoir de renseigner au sens de l'art. 27 LPGA : le recourant objecte que les documents sur lesquels l'intimée se fonde pour justifier son absence de réaction étant antérieurs au 1er janvier 2004, les questionnaires de l'époque n'étaient évidemment pas susceptibles de rendre les assurés attentifs au droit à une prestation d'impotence qui n'avait pas encore été introduite dans la loi à ce moment-là : l'accompagnement pour faire face aux nécessités de la vie. Cette observation valait – selon lui - également pour les réponses du médecin traitant qui, à l'époque avait répondu négativement à la question de savoir si l'assuré devait être considéré comme impotent. Il suggère que tant lui-même que son médecin n'auraient pas compris ce que recouvre le terme d'impotence. Il reproche à cet égard à l'intimé de ne pas l'avoir informé dès l'entrée en vigueur des nouvelles prestations, ni instruit d'office le dossier sous l'angle de ces nouvelles dispositions, à tout le moins dès la révision initiée à fin 2009. L'intimé aurait dès lors violé son obligation de renseigner au sens de l'art. 27 LPGA. violation qui, selon la jurisprudence, doit être assimilé à une déclaration erronée pouvant obliger l'autorité à consentir à un administré un avantage auquel il n'aurait pu prétendre, ceci en vertu du principe de la protection de la bonne foi découlant de l'art. 9 Cst.</w:t>
      </w:r>
    </w:p>
    <w:p>
      <w:r>
        <w:t>A/3430/2016 - 25/27 -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 versicherung :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 träger nach Art. 27 Abs. 2 ATSG, in : Sozialversicherungsrechtstagung 2006, St-Gall 2006, p. 27 n° 35).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w:t>
      </w:r>
    </w:p>
    <w:p>
      <w:r>
        <w:t>A/3430/2016 - 26/27 -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ATF non publié 8C_601/2009 du 31 mai 2010, consid. 4.2; ATAS/618/2014 du 20 mai 2014). Le recourant ne saurait donc tirer de l'art. 27 LPGA la violation par l'intimé de son devoir de renseigner pour lui opposer l'application de l'art. 48 al. 2 LAI.</w:t>
      </w:r>
    </w:p>
    <w:p>
      <w:r>
        <w:rPr>
          <w:b/>
        </w:rPr>
        <w:t>E. 11</w:t>
      </w:r>
    </w:p>
    <w:p>
      <w:r>
        <w:t>Au vu de ce qui précède, le recours, mal fondé, doit être rejeté.</w:t>
      </w:r>
    </w:p>
    <w:p>
      <w:r>
        <w:rPr>
          <w:b/>
        </w:rPr>
        <w:t>E. 12</w:t>
      </w:r>
    </w:p>
    <w:p>
      <w:r>
        <w:t>Le recourant, qui succombe, n’a pas droit à des dépens (art. 61 let. g LPGA).</w:t>
      </w:r>
    </w:p>
    <w:p>
      <w:r>
        <w:rPr>
          <w:b/>
        </w:rPr>
        <w:t>E. 13</w:t>
      </w:r>
    </w:p>
    <w:p>
      <w:r>
        <w:t>Depuis le 1er juillet 2006, la procédure n'est plus gratuite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200 et 1000 francs. Il y a dès lors lieu de condamner le recourant au paiement d'un émolument de CHF 200.-.</w:t>
      </w:r>
    </w:p>
    <w:p>
      <w:r>
        <w:t>A/3430/2016 - 27/27 -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