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ATAS/254/2014 vom 4. März 2014</w:t>
      </w:r>
    </w:p>
    <w:p>
      <w:r>
        <w:t>GE Cour de justice, 2014-03-04, FR</w:t>
      </w:r>
    </w:p>
    <w:p>
      <w:r>
        <w:rPr>
          <w:b/>
        </w:rPr>
        <w:t xml:space="preserve">Quelle: </w:t>
      </w:r>
      <w:r>
        <w:t>https://mcp.opencaselaw.ch/entscheid/ge_gerichte_ATAS_254_2014</w:t>
      </w:r>
    </w:p>
    <w:p>
      <w:r>
        <w:t>FR: GE_GERICHTE ATAS/254/2014 du 4 mars 2014</w:t>
      </w:r>
    </w:p>
    <w:p>
      <w:r>
        <w:t>IT: GE_GERICHTE ATAS/254/2014 del 4 marzo 2014</w:t>
      </w:r>
    </w:p>
    <w:p>
      <w:pPr>
        <w:pStyle w:val="Heading2"/>
      </w:pPr>
      <w:r>
        <w:t>Erwägungen</w:t>
      </w:r>
    </w:p>
    <w:p>
      <w:r>
        <w:rPr>
          <w:b/>
        </w:rPr>
        <w:t>E. 1</w:t>
      </w:r>
    </w:p>
    <w:p>
      <w:r>
        <w:t>Conformément à l'art. 134 al. 1 let. a ch. 5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La décision sur opposition a été rendue le vendredi 12 juillet 2013. Si la Cour de céans ignore la date à laquelle la recourante s’est vue notifier cette décision, la notification n’a pu intervenir que le samedi 13 juillet 2013 au plus tôt. Or, l’art. 38 al. 4 let. b LPGA prévoit que les délais en jours ou en mois fixés par la loi ou par l’autorité ne courent pas du 15 juillet au 15 août inclusivement. Par conséquent, le délai de recours est arrivé à échéance le 12 septembre 2013 dans le meilleur des cas. Interjeté ce jour-là dans la forme prévue par la loi, le recours est par conséquent recevable, en vertu des art. 56 ss LPGA.</w:t>
      </w:r>
    </w:p>
    <w:p>
      <w:r>
        <w:rPr>
          <w:b/>
        </w:rPr>
        <w:t>E. 4</w:t>
      </w:r>
    </w:p>
    <w:p>
      <w:r>
        <w:t>Le litige porte sur le droit de la recourante à des prestations de l’assurance-accident au-delà du 25 mai 2012, plus particulièrement sur le point de savoir s’il existe un lien de causalité entre ses atteintes à la santé et l’accident du 5 mai 2011.</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w:t>
      </w:r>
    </w:p>
    <w:p>
      <w:r>
        <w:t>A/2899/2013 - 8/13 -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Le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 d'en rechercher l'étiologie et de vérifier, sur cette base, l'existence du rapport de causalité avec l'événement assuré.</w:t>
      </w:r>
    </w:p>
    <w:p>
      <w:r>
        <w:rPr>
          <w:b/>
        </w:rPr>
        <w:t>E. 7</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ATF 117 V 359 consid. 5d/bb; ATFA non publié U 351/04 du 14 février 2006, consid. 3.2).</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w:t>
      </w:r>
    </w:p>
    <w:p>
      <w:r>
        <w:t>A/2899/2013 - 9/13 -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A/2899/2013 - 10/13 -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non publiés U 359/04 du 20 décembre 2005, consid. 2 ; U 389/04 du 27 octobre 2005, consid. 4.1 ; U 222/04 30 novembre 2004, consid. 1.3).</w:t>
      </w:r>
    </w:p>
    <w:p>
      <w:r>
        <w:rPr>
          <w:b/>
        </w:rPr>
        <w:t>E. 11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t>A/2899/2013 - 11/13 -</w:t>
      </w:r>
    </w:p>
    <w:p>
      <w:r>
        <w:rPr>
          <w:b/>
        </w:rPr>
        <w:t>E. 12</w:t>
      </w:r>
    </w:p>
    <w:p>
      <w:r>
        <w:t>L’assureur-accidents dispose de la possibilité de mettre fin avec effet ex nunc et pro futuro à son obligation de prester, qu’il avait initialement reconnue en versant des indemnités journalières et en prenant en charge des frais de traitement, sans devoir se fonder sur un motif de révocation d’une décision entrée en force (reconsidération ou révision procédurale), c’est-à-dire liquider le cas en invoquant le fait qu’un événement assuré - selon une appréciation correcte de la situation - n’est jamais survenu. Ce n’est que lorsqu’il souhaite mettre un terme au versement de ses prestations avec effet rétroactif et requérir la restitution des prestations versées à tort que l’assureur doit respecter les conditions de la reconsidération (ATFA non publié U 6/03 du 6 mai 2003, consid. 4.2.1). Sont toutefois réservés les cas dans lesquels le principe de la confiance s’oppose à une cessation immédiate des prestations. L’arrêt des rentes d’invalidité ou d’autres prestations versées pour une longue période est soumis aux conditions d’adaptation, reconsidération et révision procédurale (ATF 130 V 380 consid. 2.3.1).</w:t>
      </w:r>
    </w:p>
    <w:p>
      <w:r>
        <w:rPr>
          <w:b/>
        </w:rPr>
        <w:t>E. 13</w:t>
      </w:r>
    </w:p>
    <w:p>
      <w:r>
        <w:t>En l’espèce, la recourante considère que ses douleurs et pertes de sensibilité sont dues à son accident du 5 mai 2011. Elle relève qu’avant cet accident, aucun de ces symptômes ne l’affectait et conteste les compétences du Dr N_________, ainsi que la valeur probante de ses rapports. Pour sa part, l’intimée se fonde sur ces rapports pour nier tout lien de causalité entre les troubles présentés par la recourante et son accident. Selon les rapports des 26 juin 2012 et 10 juin 2013 du Dr N_________, la recourante présente une discopathie dégénérative et est porteuse d’une tige de Harrington implantée en 1971 pour traiter une scoliose, ce qui exclut tout lien de causalité entre les atteintes à la santé et l’accident. Le Dr N_________ fonde principalement son appréciation sur le compte-rendu d’une IRM réalisée par le Dr M_________ le 5 janvier 2012, ainsi que sur les constatations du Dr O_________ du 17 avril 2013. La Cour de céans constate en premier lieu que le Dr N_________ a analysé le cas de la recourante sans l’avoir examinée. Toutefois, conformément à la jurisprudence, cela n’a en l’espèce aucune incidence sur la valeur probante de ses rapports, dans la mesure où son appréciation du cas est basée sur les rapports médicaux de médecins ayant examiné la recourante. En outre, cette dernière n’a apporté au dossier aucun élément objectif permettant de remettre en cause les rapports du Dr N_________. D’ailleurs, le médecin traitant de la recourante ne le contredit pas non plus. Il apparaît donc que l’ensemble des pièces médicales du dossier vont dans le sens des conclusions prises par le Dr N_________, qu’il convient par conséquent de suivre. Quant à l’erreur de qualification de la tumeur dont la recourante fait grand cas, celle-ci s’apparente, selon toute vraisemblance, à une erreur de plume qui ne saurait suffire à nier la valeur probante des conclusions du Dr N_________ ou à remettre en cause ses compétences professionnelles. En effet, non seulement cette erreur apparaît uniquement dans l’historique médical du rapport du 24 mai 2012, mais elle a été corrigée dans le rapport du 26 juin 2012, lequel l’a annulé et remplacé, et a</w:t>
      </w:r>
    </w:p>
    <w:p>
      <w:r>
        <w:t>A/2899/2013 - 12/13 - fait l’objet d’un courrier d’excuse du Dr N_________ à l’attention de la recourante. D'ailleurs, le fait que la tumeur de la selle turcique soit maligne ou bénigne est sans incidence pour l'appréciation du cas et le Dr N_________ n'en a d'ailleurs tiré aucune conclusion. Enfin, contrairement à ce qu’elle soutient et conformément à la jurisprudence constante du Tribunal fédéral, le fait que ses douleurs ne se sont manifestées qu’après son accident ne suffit pas à établir un rapport de causalité naturelle avec cet événement. Le grief de la recourante lié au harcèlement qu’aurait orchestré le Dr N_________ et l’intimée afin qu’elle se soumette à l’IRM de sa colonne dorsale est surprenant et sans pertinence eu égard au présent litige. Certes, les rappels et injonctions à l’attention de la recourante figurent en nombre au dossier. Toutefois, ils ont été rendus nécessaires par la passivité et la mauvaise volonté de la recourante qui, après avoir fait valoir des douleurs dorsales qui n'avaient pas été spécifiquement investiguées, a mis plusieurs mois à se soumettre à l'examen en repoussant systématiquement la date de l’IRM demandée. Rappelons encore qu’à teneur de l’art. 43 al. 2 LPGA, la recourante était tenue de se soumettre aux examens médicaux nécessaires et raisonnablement exigibles, catégorie dans laquelle l’IRM de sa colonne dorsale entre manifestement. Dès lors, aucun grief ne peut être retenu à l’encontre du Dr N_________ ou de l’intimée sur ce point. Le grief de la recourante lié à la « fouille » illégitime de son passé médical dans le but de clore son dossier sans allouer de prestation n’emporte pas non plus la conviction de la Cour de céans. En effet, afin de déterminer si les assurés qui requièrent le versement de prestations y ont droit, il appartient aux assurances sociales, dont fait partie la SUVA, d’analyser la situation médicale de ces derniers, y compris leurs antécédents médicaux, lesquels peuvent, selon les cas, expliquer en tout ou partie les symptômes présentés. On relèvera enfin que même si l’intimée ne prenait pas en compte l’antécédent de scoliose de la recourante pour nier le lien de causalité entre les douleurs et l’accident, elle pourrait, selon toute vraisemblance, se baser uniquement sur sa discopathie dégénérative, dont l’existence a été admise par la recourante dans son opposition du 23 juin 2012, même si elle l’a contestée par la suite. Compte tenu de ces éléments, force est donc de constater que c’est à bon droit que l’intimée a mis fin à toute prestation dès le 25 mai 2012, faute de lien de causalité entre les atteintes à la santé de la recourante et son accident du 5 mai 2011.</w:t>
      </w:r>
    </w:p>
    <w:p>
      <w:r>
        <w:rPr>
          <w:b/>
        </w:rPr>
        <w:t>E. 14</w:t>
      </w:r>
    </w:p>
    <w:p>
      <w:r>
        <w:t>Au vu de ce qui précède, le recours est rejeté.</w:t>
      </w:r>
    </w:p>
    <w:p>
      <w:r>
        <w:rPr>
          <w:b/>
        </w:rPr>
        <w:t>E. 15</w:t>
      </w:r>
    </w:p>
    <w:p>
      <w:r>
        <w:t>Pour le surplus, la procédure est gratuite (art. 61 let. a LPGA).</w:t>
      </w:r>
    </w:p>
    <w:p>
      <w:r>
        <w:t>A/2899/2013 - 13/13 -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