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ATAS/253/2026 vom 23. März 2026</w:t>
      </w:r>
    </w:p>
    <w:p>
      <w:r>
        <w:t>GE Cour de justice, 2026-03-23, FR</w:t>
      </w:r>
    </w:p>
    <w:p>
      <w:r>
        <w:rPr>
          <w:b/>
        </w:rPr>
        <w:t xml:space="preserve">Quelle: </w:t>
      </w:r>
      <w:r>
        <w:t>https://mcp.opencaselaw.ch/entscheid/ge_gerichte_ATAS_253_2026</w:t>
      </w:r>
    </w:p>
    <w:p>
      <w:r>
        <w:t>FR: GE_GERICHTE ATAS/253/2026 du 23 mars 2026</w:t>
      </w:r>
    </w:p>
    <w:p>
      <w:r>
        <w:t>IT: GE_GERICHTE ATAS/253/2026 del 23 marzo 2026</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 du Code civil suisse du 10 décembre 1907 [CC - RS 210]).</w:t>
      </w:r>
    </w:p>
    <w:p>
      <w:r>
        <w:rPr>
          <w:b/>
        </w:rPr>
        <w:t>E. 1.2</w:t>
      </w:r>
    </w:p>
    <w:p>
      <w:r>
        <w:t>Au 1er janvier 2017 est entrée en vigueur la modification des art. 122 ss CC concernant le partage des prestations de sortie des ex-époux, ainsi que des art. 280 ss du Code de procédure civile du 19 décembre 2008 (CPC - RS 272) et 22 ss de la loi fédérale sur le libre passage dans la prévoyance professionnelle vieillesse,</w:t>
      </w:r>
    </w:p>
    <w:p>
      <w:r>
        <w:t>A/2261/2025 6/12 survivants et invalidité du 17 décembre 1993 (loi sur le libre passage, LFLP - RS 831.42). Le jugement de divorce exécutoire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2.1</w:t>
      </w:r>
    </w:p>
    <w:p>
      <w:r>
        <w:t>L'art. 25a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de la loi fédérale sur la prévoyance professionnelle vieillesse, survivants et invalidité, du 25 juin 1982 (LPP - RS 831.40), soit à Genève, la chambre des assurances sociales de la Cour de justice exécute d’office, après que l’affaire lui a été transmise (art. 281 al. 3 CPC), le partage sur la base de la clé de répartition déterminée par le juge du divorce.</w:t>
      </w:r>
    </w:p>
    <w:p>
      <w:r>
        <w:rPr>
          <w:b/>
        </w:rPr>
        <w:t>E. 2.2</w:t>
      </w:r>
    </w:p>
    <w:p>
      <w:r>
        <w:t>Selon l'art. 22 LFLP, en cas de divorce, les prestations de sortie et les parts de rente sont partagées conformément aux art. 122 à 124e du CC et 280 et 281 du CPC ;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Selon l’art. 124a CC, si, au moment de l’introduction de la procédure de divorce, l’un des époux perçoit une rente d’invalidité alors qu’il a déjà atteint l’âge réglementaire de la retraite ou perçoit une rente de vieillesse, le juge apprécie les modalités du partage. Il tient compte en particulier de la durée du mariage et des besoins de prévoyance de chacun des époux (al. 1). La part de rente attribuée au conjoint créancier est convertie en rente viagère. L’institution de prévoyance du conjoint débiteur lui verse cette dernière ou la transfère dans sa prévoyance professionnelle (al. 2). Le Conseil fédéral règle : 1. la conversion technique de la part de rente attribuée au conjoint créancier en une rente viagère ; la manière de procéder lorsque les prestations de vieillesse sont différées ou que la rente d’invalidité est réduite pour cause de surindemnisation (al. 3).</w:t>
      </w:r>
    </w:p>
    <w:p>
      <w:r>
        <w:t>A/2261/2025 7/12 Selon l'art. 19h OLP, l’institution de prévoyance du conjoint débiteur convertit la part de rente attribuée au conjoint créancier en rente viagère selon la formule indiquée dans l’annexe. L’OFAS met gratuitement à disposition un outil électronique de conversion (al. 1). La date déterminante pour la conversion est celle de l’entrée en force du jugement de divorce (al. 2). Le partage porte tant sur la part obligatoire de la rente que sur une éventuelle part surobligatoire de celle-ci (Message du Conseil fédéral du 29 mai 2013 concernant la révision du code civil suisse [Partage de la prévoyance professionnelle en cas de divorce], FF 2013 4341 p. 4364 et 4365 ; Anne-Sylvie DUPONT, Les nouvelles règles sur le partage de la prévoyance en cas de divorce, in Le nouveau droit de l'entretien de l'enfant et du partage de la prévoyance, 2016, p. 68 et note de bas de page n. 111). Le résultat de la conversion dépend notamment du moment auquel elle est effectuée. D’une part, les bases techniques utilisées peuvent subir des modifications (notamment les tables de mortalité et le taux d’intérêt technique) et, d’autre part, la conversion dépend de l’âge des conjoints. C’est pourquoi il est important de déterminer clairement le moment de la conversion. L’entrée en force du jugement de divorce représente le moment idéal, car c’est à cette date que commence à courir la rente viagère que l’institution de prévoyance débitrice doit verser au conjoint créancier (OFAS, Commentaire des modifications de l’ordonnance sur la prévoyance professionnelle vieillesse, survivants et invalidité (OPP2) dans le cadre de la révision du code civil relative au partage de la prévoyance professionnelle en cas de divorce, du 10 juin 2016 [ci-après: OFAS, Commentaire], p. 19). Tant la part à la prestation de sortie qu'à la rente de vieillesse sont liées à des fins de prévoyance et doivent être transférées dans la prévoyance professionnelle du bénéficiaire, soit à sa caisse de prévoyance ou, à défaut, sur un compte de libre- passage ou à l'institution supplétive LPP. Lorsque le bénéficiaire est déjà retraité, la part de prestation de sortie ou de rente de vieillesse peut lui être directement versée en espèces (arrêt de la chambre civile de la Cour de justice ACJC/1384/2022 du 20 octobre 2022 consid. 4.1.4).</w:t>
      </w:r>
    </w:p>
    <w:p>
      <w:r>
        <w:rPr>
          <w:b/>
        </w:rPr>
        <w:t>E. 2.3</w:t>
      </w:r>
    </w:p>
    <w:p>
      <w:r>
        <w:t>En vertu de l’art. 124c CC, les prétentions réciproques des époux à des prestations de sortie ou à des parts de rente sont compensées entre elles. La compensation des prétentions à une rente a lieu avant la conversion de la part de rente attribuée au conjoint créancier en une rente viagère (al. 1). Les prestations de sortie ne peuvent être compensées par des parts de rente que si les époux et leurs institutions de prévoyance respectives y consentent (al. 2). Le consentement de ces dernières est donné si le règlement de prévoyance du conjoint rentier prévoit la possibilité d'un transfert sous forme de capital en faveur du conjoint créancier d'une part de rente (cf. art. 22c al. 3 LFLP). Ce faisant, elles donnent leur consentement à une compensation au sens de l'art. 124c CC (Pascal</w:t>
      </w:r>
    </w:p>
    <w:p>
      <w:r>
        <w:t>A/2261/2025 8/12 PICHONNAZ, Commentaire romand Code civil I, 2023, n. 15 ad art. 124c CC). Aucune méthode n'est prévue légalement pour capitaliser la rente viagère, de sorte qu'il conviendra de se référer au règlement de l'institution de prévoyance concernée à cet égard (Silvia BASAGLIA / Axelle PRIOR, Le partage de la prévoyance professionnelle en cas de perception d'une rente, in La pratique du droit de la famille, 2017, p. 91). Selon l'art. 22c al. 3 LFLP, le Conseil fédéral règle les modalités du transfert de rente à l’institution de prévoyance ou de libre passage du conjoint créancier. En lieu et place du transfert de rente, l’institution de prévoyance du conjoint débiteur et le conjoint créancier peuvent s’accorder sur le transfert sous forme de capital. Selon l'art. 19j OLP, l’institution du conjoint débiteur transfère la rente viagère au sens de l’art. 124a al. 2 CC à l’institution de prévoyance ou de libre passage du conjoint créancier. Le transfert correspond à la rente due pour une année civile et est effectué annuellement au plus tard le 15 décembre de l’année considérée (al. 1). Si le conjoint créancier a droit à une rente d’invalidité ou de vieillesse (art. 22e LFLP) ou s’il décède, le transfert correspond à la rente due entre le début de l’année en question et le moment de la survenance du cas de prévoyance (al. 2). Le conjoint créancier informe son institution de prévoyance ou de libre passage de son droit à toucher une rente viagère et lui indique le nom de l’institution du conjoint débiteur. S’il change d’institution de prévoyance ou de libre passage, il en informe l’institution de prévoyance du conjoint débiteur au plus tard le 15 novembre de l’année considérée (al. 3). Si le nom de l’institution de prévoyance ou de libre passage du conjoint créancier n’a pas été communiqué à l’institution de prévoyance du conjoint débiteur, cette dernière verse le montant dû à l’institution supplétive, au plus tôt six mois mais au plus tard deux ans, après la date fixée pour le transfert. Elle effectue annuellement les transferts suivants à l’institution supplétive jusqu’à ce qu’elle reçoive l’information visée à l’al. 3 (al. 4). L’institution de prévoyance du conjoint débiteur verse, sur le montant annuel de la prestation à transférer, un intérêt qui correspond à la moitié du taux réglementaire en vigueur pour l’année considérée (al. 5).</w:t>
      </w:r>
    </w:p>
    <w:p>
      <w:r>
        <w:rPr>
          <w:b/>
        </w:rPr>
        <w:t>E. 2.4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Cela vaut également pour la prestation de libre passage à transférer : celle-ci doit être rémunérée au taux d’intérêt minimal LPP ou à un taux réglementaire plus élevé à partir du jour déterminant (arrêt du Tribunal fédéral 9C_149/2017 du 10 octobre 2017 consid. 5.2.4 ; Bulletins de la prévoyance professionnelle : Compilation des indications et prises de position de l'OFAS et de la jurisprudence sur le libre passage, les versements en espèces et les versements en capital, état le 10 juillet 2024, n. 987).</w:t>
      </w:r>
    </w:p>
    <w:p>
      <w:r>
        <w:t>A/2261/2025 9/12</w:t>
      </w:r>
    </w:p>
    <w:p>
      <w:r>
        <w:rPr>
          <w:b/>
        </w:rPr>
        <w:t>E. 2.5</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 de sortie et de libre passage acquises au moment de la conclusion du mariage et aux versements uniques effectués jusqu’au moment du divorce est de 4% jusqu'au 31 décembre 2002, 3.25% en 2003, 2.25% en 2004, 2.5% de 2005 à 2007, 2.75% en 2008, 2% de 2009 à 2011, 1.5% de 2012 à 2013, 1.75% de 2014 à 2015, 1.25% en 2016 et 1% dès le 1er janvier 2017. Si le règlement de l'institution de prévoyance prévoit un taux d'intérêt supérieur pour l'avoir de vieillesse, ce taux est alors applicable (arrêt du Tribunal fédéral 9C_149/2017 du 10 octobre 2017 consid. 5.1).</w:t>
      </w:r>
    </w:p>
    <w:p>
      <w:r>
        <w:rPr>
          <w:b/>
        </w:rPr>
        <w:t>E. 3</w:t>
      </w:r>
    </w:p>
    <w:p>
      <w:r>
        <w:t>En l’espèce, le juge de première instance a ordonné le partage par moitié des prestations de sortie acquises par les demandeurs du 26 juillet 1984, date du mariage, au 9 juin 2022, date à laquelle la demande en divorce a été déposée. La chambre de céans doit uniquement fixer le montant à transférer. Les prétentions de prévoyance professionnelle ne concernent pas uniquement les prestations de sortie qui feront l'objet du partage, mais également les rentes en cours et les avoirs de libre passage détenus par l'un ou l'autre des conjoints (DUPONT, op cit., p. 55). À cet égard, au moment de l'introduction de la procédure de divorce, le demandeur percevait déjà, à l'inverse de la demanderesse, une rente de vieillesse du deuxième pilier. Dans ce cas, le partage s'effectue sous la forme du partage de la prestation de sortie de la demanderesse (cf. infra) et du partage de la rente du demandeur (cf. arrêt de la chambre civile de la Cour de justice ACJC/1099/2018 du 27 juillet 2018 consid. 4.3 et la référence ; BASAGLIA / PRIOR, op cit., p. 89).</w:t>
      </w:r>
    </w:p>
    <w:p>
      <w:r>
        <w:rPr>
          <w:b/>
        </w:rPr>
        <w:t>E. 3.1</w:t>
      </w:r>
    </w:p>
    <w:p>
      <w:r>
        <w:t>S’agissant de la demanderesse, les pièces au dossier attestent d’un avoir de CHF 54'287.50 au jour du dépôt de la demande en divorce, acquis depuis la date du mariage. Il doit encore être tenu compte du montant perçu au titre de versement anticipé de la part de la Caisse de pensions I______ le 25 mai 2004, puisqu’au moment du divorce, en novembre 2024, un cas de prévoyance ne s’était pas encore produit pour elle (ATF 128 V 230 consid. 2c), soit un montant de CHF 24'358.-. L’avoir total de la demanderesse au 9 juin 2022 est ainsi de CHF 78'645.50.</w:t>
      </w:r>
    </w:p>
    <w:p>
      <w:r>
        <w:rPr>
          <w:b/>
        </w:rPr>
        <w:t>E. 3.2</w:t>
      </w:r>
    </w:p>
    <w:p>
      <w:r>
        <w:t>En ce qui concerne la prestation de sortie du demandeur, au moment de l'introduction de la procédure de divorce, il percevait déjà une rente de vieillesse (cf. art. 124a CC). Dans cette situation, il n'est plus possible de calculer une prestation de sortie, de sorte que le partage devra s'effectuer sous la forme du partage de sa rente de vieillesse (cf. ATF 145 III 56 consid. 5.1).</w:t>
      </w:r>
    </w:p>
    <w:p>
      <w:r>
        <w:t>A/2261/2025 10/12 Pour ce faire, il y a lieu de déterminer la quote-part de rente ayant été acquise durant le mariage ; en effet, seuls les avoirs effectivement accumulés durant cette période sont pertinents (cf. Audrey LEUBA / Julie UDRY, Partage du 2e pilier : premières expériences, in Entretien de l'enfant et prévoyance professionnelle, 2018, p. 7 et 8), étant relevé que les années de mariage n'ayant engendré aucune cotisation supplémentaire ne devraient pas donner lieu au partage d'une part plus importante desdits avoirs (LEUBA / UDRY, op cit., p. 8). En l’occurrence, l’entier du capital donnant lieu à une rente de vieillesse a été acquis depuis la date du mariage, étant relevé que le paiement en espèces de CHF 22'797.50 de la part de la CPPIC n’a pas à être pris en compte. Il convient dès lors de déterminer la part de rente à partager in concreto, sur la base des données du cas d'espèce. Selon les courriers d’AXA Vie SA, le capital de prévoyance accumulé par le demandeur durant le mariage est de CHF 311'241.25 (dont une part LPP de CHF 93'765.20) qui correspond à une rente de vieillesse annuelle de CHF 18'295.80 (dont une part LPP de CHF 6'359.-). La rente de vieillesse du demandeur est versée mensuellement à hauteur de CHF 1'524.65.</w:t>
      </w:r>
    </w:p>
    <w:p>
      <w:r>
        <w:rPr>
          <w:b/>
        </w:rPr>
        <w:t>E. 3.3</w:t>
      </w:r>
    </w:p>
    <w:p>
      <w:r>
        <w:t>Il en découle que la prestation acquise pendant le mariage par la demanderesse est de CHF 78'645.50, et la rente de vieillesse mensuelle du demandeur calculé en fonction d’un avoir acquis postérieurement au mariage est de CHF 1'524.65, les intérêts ayant déjà été calculés par les institutions de prévoyance défenderesses. Ainsi, la demanderesse doit au demandeur CHF 39'322.75 (CHF 78'645.50 / 2) et le demandeur lui doit la moitié de sa rente de vieillesse de CHF 1'524.65 À la suite des renseignements pris auprès d’AXA Vie SA, la valeur de la moitié de cette rente, soit CHF 762.- (CHF 1'524.65 / 2), calculée par le convertisseur de l’OFAS correspond à une rente viagère de CHF 634.- et est due à la demanderesse dès le 16 novembre 2024, le jour de l’entrée en force du jugement de divorce. La demanderesse a sollicité l’octroi de la part de la rente de son ex-époux à laquelle elle a droit sous la forme d’une rente viagère. En conséquence, AXA Vie SA sera invitée à verser à la CAP Prévoyance une rente mensuelle de CHF 634.-, rétroactivement depuis le 16 novembre 2024, et la CAP Prévoyance sera invitée à verser à AXA Vie SA la somme de CHF 39'322.75 . Dans l’hypothèse d’une rente viagère, AXA Vie SA a indiqué qu’elle facturerait au demandeur l’excédent de rente de CHF 762.- par mois, depuis le 16 novembre 2024. Le demandeur sera ainsi invité à verser à AXA Vie SA l’excédent de rente dont il a bénéficié depuis l6 novembre 2024.</w:t>
      </w:r>
    </w:p>
    <w:p>
      <w:r>
        <w:rPr>
          <w:b/>
        </w:rPr>
        <w:t>E. 3.4</w:t>
      </w:r>
    </w:p>
    <w:p>
      <w:r>
        <w:t>Conformément à la jurisprudence, depuis le jour déterminant pour le partage jusqu'au moment du transfert de la prestation de sortie ou de la demeure, le</w:t>
      </w:r>
    </w:p>
    <w:p>
      <w:r>
        <w:t>A/2261/2025 11/12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4</w:t>
      </w:r>
    </w:p>
    <w:p>
      <w:r>
        <w:t>Aucun émolument ne sera perçu, la procédure étant gratuite (art. 73 al. 2 LPP et 89H al. 1 de la loi sur la procédure administrative du 12 septembre 1985 (LPA- GE - E 5 10).</w:t>
      </w:r>
    </w:p>
    <w:p>
      <w:r>
        <w:t>A/2261/2025 12/12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