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ATAS/253/2023 vom 12. April 2023</w:t>
      </w:r>
    </w:p>
    <w:p>
      <w:r>
        <w:t>GE Cour de justice, 2023-04-12, FR</w:t>
      </w:r>
    </w:p>
    <w:p>
      <w:r>
        <w:rPr>
          <w:b/>
        </w:rPr>
        <w:t xml:space="preserve">Quelle: </w:t>
      </w:r>
      <w:r>
        <w:t>https://mcp.opencaselaw.ch/entscheid/ge_gerichte_ATAS_253_2023</w:t>
      </w:r>
    </w:p>
    <w:p>
      <w:r>
        <w:t>FR: GE_GERICHTE ATAS/253/2023 du 12 avril 2023</w:t>
      </w:r>
    </w:p>
    <w:p>
      <w:r>
        <w:t>IT: GE_GERICHTE ATAS/253/2023 del 12 aprile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ancien art. 142 du Code civil [CC - RS 210]).</w:t>
      </w:r>
    </w:p>
    <w:p>
      <w:r>
        <w:rPr>
          <w:b/>
        </w:rPr>
        <w:t>E. 1.1</w:t>
      </w:r>
    </w:p>
    <w:p>
      <w:r>
        <w:t>Le litige porte sur la mise à la charge de la défenderesse d'une peine conventionnelle de CHF 5'000.- et de CHF 5'00.- de frais de procédure, ainsi que sur la levée de l'opposition et l'octroi d'une mainlevée définitive dans le cadre de la poursuite y relative.</w:t>
      </w:r>
    </w:p>
    <w:p>
      <w:r>
        <w:rPr>
          <w:b/>
        </w:rPr>
        <w:t>E. 1.2</w:t>
      </w:r>
    </w:p>
    <w:p>
      <w:r>
        <w:t>A titre liminaire, il convient d’examiner si la chambre de céans est matériellement compétente pour statuer sur les différentes prétentions réclamées.</w:t>
      </w:r>
    </w:p>
    <w:p>
      <w:r>
        <w:rPr>
          <w:b/>
        </w:rPr>
        <w:t>E. 2.1</w:t>
      </w:r>
    </w:p>
    <w:p>
      <w:r>
        <w:t>La Fondation FAR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w:t>
      </w:r>
    </w:p>
    <w:p>
      <w:r>
        <w:rPr>
          <w:b/>
        </w:rPr>
        <w:t>E. 2.2</w:t>
      </w:r>
    </w:p>
    <w:p>
      <w:r>
        <w:t>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331ss CO et 89a CC, ce qui est le cas des régimes conventionnels de retraite anticipée, les litiges opposant l’institution aux employeurs (en paiement des cotisations) ou aux travailleurs (en paiement de</w:t>
      </w:r>
    </w:p>
    <w:p>
      <w:r>
        <w:t>A/605/2023 - 4/7 - prestations) relèvent des tribunaux compétents en matière de prévoyance professionnelle (Jean-Philipe DUNAND / Pascal MAHON [éd.], Commentaire du contrat de travail, 2013, n. 46 ad art. 357b CO).</w:t>
      </w:r>
    </w:p>
    <w:p>
      <w:r>
        <w:rPr>
          <w:b/>
        </w:rPr>
        <w:t>E. 3.1</w:t>
      </w:r>
    </w:p>
    <w:p>
      <w:r>
        <w:t>Dans le cadre de contestations opposant institutions de prévoyance, employeurs et ayants droit, la compétence des autorités visées par l'art. 73 LPP est doublement définie.</w:t>
      </w:r>
    </w:p>
    <w:p>
      <w:r>
        <w:rPr>
          <w:b/>
        </w:rPr>
        <w:t>E. 3.2</w:t>
      </w:r>
    </w:p>
    <w:p>
      <w:r>
        <w:t>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w:t>
      </w:r>
    </w:p>
    <w:p>
      <w:r>
        <w:rPr>
          <w:b/>
        </w:rPr>
        <w:t>E. 3.3</w:t>
      </w:r>
    </w:p>
    <w:p>
      <w:r>
        <w:t>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128 V 254 consid. 2a ; arrêt du Tribunal fédéral 9C_34/2013 du 17 juin 2013 cons. 2.2).</w:t>
      </w:r>
    </w:p>
    <w:p>
      <w:r>
        <w:t>A/605/2023 - 5/7 -</w:t>
      </w:r>
    </w:p>
    <w:p>
      <w:r>
        <w:rPr>
          <w:b/>
        </w:rPr>
        <w:t>E. 3.4</w:t>
      </w:r>
    </w:p>
    <w:p>
      <w:r>
        <w:t>Les amendes conventionnelles sont des prétentions qui ne sont pas fondées sur le droit de la prévoyance professionnelle (ATAS/1136/2020 du 16 novembre 2020 consid. 4.c). En effet, ces amendes (prévues par l’art. 25 CCT RA) visent à sanctionner le non-respect de la CCT RA et relèvent, dès lors, de l’exécution commune d’une convention collective de travail au sens de l’art. 357b al.1 CO (ATF 116 II 302 in JdT 1991 I 170 ; arrêt du Tribunal fédéral 4A_283/2008 du 12 septembre 2008). Sur cet aspect, le litige ressortit exclusivement au droit privé et donc à la compétence du juge civil (Christian BRUCHEZ, in Commentaire du contrat de travail, 2013, nn. 7 et 36 ad art. 357b CO). En ce qui concerne plus particulièrement le canton de Genève, les contentieux en matière d’exécution commune relèvent matériellement de la compétence de la Chambre des relations collectives de travail et du Tribunal des prud’hommes, qui connaissent desdits litiges respectivement en tant qu’autorité de conciliation et en tant qu’autorité de jugement (art. 1 al. 1 let. e et 11 al. 4 de la loi sur le Tribunal des prud’hommes du 11 février 2010 [LTPH – RS E 3 10] ; arrêt de la chambre des prud'hommes de la Cour de justice CAPH/121/2016 du 24 juin 2016). Il en est de même des frais de contrôle par l’office de révision des caisses de compensation et des frais de procédure interne relevant de la même norme conventionnelle (ATAS/1136/2020 du 16 novembre 2020).</w:t>
      </w:r>
    </w:p>
    <w:p>
      <w:r>
        <w:rPr>
          <w:b/>
        </w:rPr>
        <w:t>E. 4.1</w:t>
      </w:r>
    </w:p>
    <w:p>
      <w:r>
        <w:t>Selon l’art. 23 al. 1 CCT RA, les parties conviennent de l’application commune au sens de l’art. 357b CO. La Fondation FAR est constituée à cet effet et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FAR une attestation de salaire nominative des personnes assujetties à la CCT RA, numéros AVS inclus, pour l´année civile écoulée. Selon l’art. 25 CCT RA, les atteintes aux obligations découlant de cette convention peuvent être sanctionnées par les instances d’application d’une amende conventionnelle jusqu’à CHF 50'000.-, l’al. 2 demeurant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w:t>
      </w:r>
    </w:p>
    <w:p>
      <w:r>
        <w:rPr>
          <w:b/>
        </w:rPr>
        <w:t>E. 4.2</w:t>
      </w:r>
    </w:p>
    <w:p>
      <w:r>
        <w:t>La Fondation FAR poursuit la défenderesse pour non-paiement d'une peine conventionnelle et des frais judiciaires. Or, les prétentions tendant au paiement d’amendes conventionnelles et de frais de procédure interne, comme c’est le cas</w:t>
      </w:r>
    </w:p>
    <w:p>
      <w:r>
        <w:t>A/605/2023 - 6/7 - en l’espèce, ne trouvent pas leur source dans le droit de la prévoyance professionnelle mais dans une convention collective, de sorte que la demande est irrecevable.</w:t>
      </w:r>
    </w:p>
    <w:p>
      <w:r>
        <w:rPr>
          <w:b/>
        </w:rPr>
        <w:t>E. 5</w:t>
      </w:r>
    </w:p>
    <w:p>
      <w:r>
        <w:t>Au vu de ce qui précède, la demande sera déclarée irrecevable et sera transmise d'office et sans instruction supplémentaire au Tribunal des prud’hommes, comme objet de sa compétence. La procédure est gratuite (art. 73 al. 2 LPP et 89H al. 1 LPA).</w:t>
      </w:r>
    </w:p>
    <w:p>
      <w:r>
        <w:t>A/605/2023 - 7/7 -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