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ATAS/253/2021 vom 24. März 2021</w:t>
      </w:r>
    </w:p>
    <w:p>
      <w:r>
        <w:t>GE Cour de justice, 2021-03-24, FR</w:t>
      </w:r>
    </w:p>
    <w:p>
      <w:r>
        <w:rPr>
          <w:b/>
        </w:rPr>
        <w:t xml:space="preserve">Quelle: </w:t>
      </w:r>
      <w:r>
        <w:t>https://mcp.opencaselaw.ch/entscheid/ge_gerichte_ATAS_253_2021</w:t>
      </w:r>
    </w:p>
    <w:p>
      <w:r>
        <w:t>FR: GE_GERICHTE ATAS/253/2021 du 24 mars 2021</w:t>
      </w:r>
    </w:p>
    <w:p>
      <w:r>
        <w:t>IT: GE_GERICHTE ATAS/253/2021 del 24 marzo 2021</w:t>
      </w:r>
    </w:p>
    <w:p>
      <w:pPr>
        <w:pStyle w:val="Heading2"/>
      </w:pPr>
      <w:r>
        <w:t>Erwägungen</w:t>
      </w:r>
    </w:p>
    <w:p>
      <w:r>
        <w:rPr>
          <w:b/>
        </w:rPr>
        <w:t>E. 19</w:t>
      </w:r>
    </w:p>
    <w:p>
      <w:r>
        <w:t>Par ordonnance du 20 février 2020 (ATAS/127/2020) la chambre de céans a estimé nécessaire de faire procéder à une expertise judiciaire, au vu des appréciations divergentes entre les Drs G______ et F______ et elle l'a confiée au docteur I______, spécialiste FMH en orthopédie et traumatologie de l’appareil locomoteur.</w:t>
      </w:r>
    </w:p>
    <w:p>
      <w:r>
        <w:rPr>
          <w:b/>
        </w:rPr>
        <w:t>E. 20</w:t>
      </w:r>
    </w:p>
    <w:p>
      <w:r>
        <w:t>À teneur de son rapport d’expertise du 16 juillet 2020, le Dr I______ a fondé son expertise sur l’étude du dossier mis à sa disposition, la recherche de littérature en la matière et l’étude de documents médicaux manquants (arthro-IRM 3T de l’épaule droite du 16 juin 2020). L’expert a procédé à une anamnèse détaillée, indiquant notamment que l'assuré était âgé de 37 ans lors de l'événement du 26 novembre 2017, qu'il était un sportif avéré, pratiquant divers sports de manière relativement intensive et notamment le tennis, qu'il avait pratiqué à un niveau élevé jusqu'à l'âge de 23 ans, avec de multiples tournois au niveau national français. Il n'avait relaté aucune symptomatologie au niveau de l'épaule droite avant l'accident. Le jour de celui-ci, il pratiquait le tennis de manière intense et c'était lors d'un service, frappant la balle violemment durant ce geste classique de mise en jeu, qu'il avait ressenti une luxation/sub-luxation antérieure de l'épaule droite lors de la fin du mouvement avec une relocalisation spontanée, sans manœuvre particulière de son épaule droite. L'expert a relaté les données subjectives du recourant, ses constats objectifs et a posé les diagnostics suivants : - lésion de type GLAD (Glenolabral articular disruption lesion) à savoir une lésion superficielle antero-inférieure du labrum avec lésion cartilagineuse adjacente antero-inférieure de la glène. - fissuration labrale postero-inférieure avec kystes arthro-synoviaux postero- inferieurs de l’épaule droite avec micro géode osseuse sous-chondrale au niveau du rebord glénoïdien inférieur. - rétraction capsulaire postérieure de l’épaule droite avec hyper laxité relative de la capsule antérieure avec constitution d’un GIRD (gleno-humeral internal rotation deficit) avec déficit de rotation interne d’environ 15-20°, associé à une possible micro-instabilité antérieure (épisodes de subluxation antérieure). - discrète arthrose acromio-claviculaire sans œdème des berges, épaule droite.</w:t>
      </w:r>
    </w:p>
    <w:p>
      <w:r>
        <w:t>A/801/2019 - 8/16 - À la question de savoir si certains de ces diagnostics correspondaient à des lésions figurant à l'art. 6 al. 2 LAA, l’expert a indiqué que la fissuration capsulaire postero- inférieure qui, elle aussi, était constituée en partie par des ligaments gléno- huméraux postero-inférieurs pouvait être considérée comme une lésion partielle ligamentaire à ce niveau-ci. Tous les diagnostics posés étaient objectivement documentés, respectivement constatés par l'expert lors de l'examen de l'expertisée. L’expert a conclu, s'agissant de la lésion de type GLAD, que la causalité naturelle avec l'événement du 26 novembre 2017 était possible (probabilité de moins de 50%) et que même si on considérait que cette lésion pouvait être directement liée à l'événement du 26 novembre 2017, il manquait le facteur extérieur ayant provoqué cette lésion ou la nature exceptionnelle de l'événement. Aussi, il ne s'agissait pas d'une lésion au sens des 6 al. 2 LAA et 6 al. 2 let. b LAA. Il était effectivement beaucoup plus probable que la lésion soit due à des micro-traumas répétitifs, donc avec des répétitions de sub-luxations antérieures de la tête humérale lors de milliers d'itérations du mouvement de la mise en jeu/service au tennis ayant provoqué progressivement une dégradation du cartilage antero-inférieur et du labrum antero- inférieur de cette épaule droite, ce qui était attesté par la constatation de ce GIRD d'environ 15°-20° qui ne se voyait que chez les athlètes qui pratiquaient un sport de type « overhead » de longue date avec installation de cette constellation pathologique de la capsule de l'épaule. En ce qui concernait la fissuration de la capsule infero-postérieure et de ces micro géodes osseuses sous-chondrales situées sur le rebord glénoïdien inférieur, elles n'avaient clairement aucune relation avec tout événement possible de luxation antero-inférieure de l'épaule. Donc la causalité naturelle avec l'événement du 26 novembre 2017 était possible (probabilité de moins de 50%). En ce qui concernait la rétraction capsulaire postérieure et la relative laxité de la capsule antérieure avec constitution d'un GIRD de 1°-20° cette lésion était clairement d'origine maladive/dégénérative et n'était absolument pas à mettre en lien avec un quelconque traumatisme. Donc la causalité naturelle avec l'événement du 26 novembre 2017 était possible (probabilité de moins de 50%). La petite pré-arthrose acromio-claviculaire de l'épaule droite non symptomatique était également à mettre dans le registre d'une lésion plutôt d'origine dégénérative et maladive. Donc la causalité naturelle avec l'événement du 26 novembre 2017 était possible (probabilité de moins de 50%). Il en était évidemment de même en ce qui concernait cette micro-géode osseuse inférieure décrite dans l'arthro-IRM du 16 juin 2020 ainsi que des kystes para- labraux postérieurs, toutes ces lésions signalant une chronicité de la pathologie concernant cette épaule. Le seul diagnostic retrouvé correspondant à une lésion au sens de l'art. 6. al. 2 LAA était une fissuration de la capsule postero-inférieure de l'épaule droite. Cette lésion n'était certainement pas due à un phénomène unique de luxation ou sub-luxation</w:t>
      </w:r>
    </w:p>
    <w:p>
      <w:r>
        <w:t>A/801/2019 - 9/16 - antérieure de l'épaule droite, mais certainement à des micro traumas répétitifs de cette épaule droite chez un joueur de tennis avéré, présentant les stigmates d'une altération pathologique globale subtile de l'épaule avec un GIRD. Cette atteinte était donc imputable à plus de 50% à une situation chronique, usure/état maladif. On pouvait considérer que l'événement du 26 novembre 2017 était la culmination d'un état maladif préexistant de l'épaule droite de l'assuré avec finalement une décompensation lors de cet événement. Le statu quo sine avait été atteint six semaines après l'événement, soit à la date de l’arthro-CT de cette épaule droite. Enfin, on ne pouvait pas vraiment parler d'événement unique dans le temps et dans l'espace lors de l'incident du 26 novembre 2017, puisqu'il s'agissait d'un mouvement habituel et répétitif, effectué des milliers de fois par le patient, sans qu'il y ait eu un événement extérieur évident et anormal qui aurait pu altérer le geste de ce service. L'expert a justifié de façon détaillée ses conclusions et a commenté les rapports des autres médecins ayant examiné la situation du recourant. Il a relevé dans ce contexte que l'opposition formulée par le recourant le 8 juin 2018 était peu claire et contradictoire, car celui-ci avait mentionné un retour de balle de tennis donné accidentellement alors qu'en réalité, il était en train d'effectuer un service.</w:t>
      </w:r>
    </w:p>
    <w:p>
      <w:r>
        <w:rPr>
          <w:b/>
        </w:rPr>
        <w:t>E. 21</w:t>
      </w:r>
    </w:p>
    <w:p>
      <w:r>
        <w:t>Le 7 septembre 2020, le recourant a informé la chambre de céans qu’il n’avait aucune conclusion complémentaire à formuler.</w:t>
      </w:r>
    </w:p>
    <w:p>
      <w:r>
        <w:rPr>
          <w:b/>
        </w:rPr>
        <w:t>E. 22</w:t>
      </w:r>
    </w:p>
    <w:p>
      <w:r>
        <w:t>Le 9 novembre 2020, l’intimée a confirmé ses conclusions, retenant que l'événement en question ne correspondait pas à la notion d'accident au sens de l'art. 4 LPGA. Par conséquent, les conditions de prise en charge sur la base de l'art. 6 al. 1 LAA n'étaient clairement pas remplies. Des quatre diagnostics retenus par l'expert, seul le diagnostic de fissuration de la capsule postero-inférieure de l'épaule droite correspondait à un diagnostic à l'art. 6 al. 2 LAA. Dès lors que selon l'expert cette atteinte était imputable à plus de 50% à une situation chronique d'usure ou état maladif, elle n'était pas à la charge de l'intimée.</w:t>
      </w:r>
    </w:p>
    <w:p>
      <w:r>
        <w:rPr>
          <w:b/>
        </w:rPr>
        <w:t>E. 23</w:t>
      </w:r>
    </w:p>
    <w:p>
      <w:r>
        <w:t>Sur ce, la cause a été gardée à juger. EN DROIT 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modification du 25 septembre 2015 de la LAA est entrée en vigueur le 1er janvier 2017. Dans la mesure où l'accident est survenu après cette date, le droit</w:t>
      </w:r>
    </w:p>
    <w:p>
      <w:r>
        <w:t>A/801/2019 - 10/16 -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bien-fondé du refus de l’intimée d’allouer ses prestations au recourant pour son atteinte à l’épaule gauche survenue le 26 novembre 2017 alors qu’il jouait au tennis.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w:t>
      </w:r>
    </w:p>
    <w:p>
      <w:r>
        <w:t>A/801/2019 - 11/16 -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extérieur extraordinaire a été admis dans le cas d'une charge contre la balustrade subie par un hockeyeur (ATF 130 V 117 précité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t>A/801/2019 - 12/16 - 6.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Dans un arrêt de principe 8C_22/2019 du 24 septembre 2019, le Tribunal fédéral a précisé que l'application de l’art. 6 al. 2 LAA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violation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w:t>
      </w:r>
    </w:p>
    <w:p>
      <w:r>
        <w:t>A/801/2019 - 13/16 - « palette des causes » se compose uniquement d'éléments indiquant une usure ou une maladie, il s'ensuit inévitablement que l'assureur-accidents a apporté la preuve de la « libération » et qu’il n’est pas nécessaire d’apporter des clarifications supplémentaires (consid. 8.6). La chambre de céans a jugé dans un arrêt de principe du 22 août 2019 qu'il appartient désormais à l'assureur-social d'apporter la preuve, au degré de la vraisemblance prépondérante, que la lésion corporelle est attribuable à raison de plus de 50% à l’usure ou à la maladie (ATAS/747/2019). 7.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A/801/2019 - 14/16 - 9. En l'espèce, l'expertise du Dr I______ remplit les réquisits pour se voir reconnaître une pleine valeur probante, ce que parties ne contestent pas. Il y a donc lieu de s'en tenir aux conclusions de celle-ci. Les conclusions contraires du Dr F______ ne suffisent pas les remettre sérieusement en doute. 10. Il convient d'examiner la situation du recourant en premier lieu sous l'angle de l'art. 6 al. 1 LAA. Aux termes de cette disposition, l'assureur-accidents verse des prestations à l'assuré en cas d'accident professionnel, d'accident non professionnel et de maladie professionnelle. Selon le recourant, le coup porté pour retourner la balle de tennis dans le camp adverse constituait un facteur extérieur reconnaissable. Pour l'intimé, aucune cause externe extraordinaire ni mouvement non programmé n’avaient été décrits par le recourant de sorte que l’événement du 26 novembre 2017 ne constituait pas un accident au sens juridique du terme. L’expert a également nié la notion d'accident, retenant qu'il n'y avait pas eu un événement extérieur évident, anormal qui aurait pu altérer le geste de service qu'avait effectué le recourant, mais que la cause des atteintes de celui-ci avait plutôt été un mouvement habituel, répétitif effectué des milliers de fois par lui. Il convient de relever que le recourant a varié dans sa description de l'événement. Il a indiqué, le 19 décembre 2017, que l'événement était intervenu « alors qu'il frappait la balle », puis dans son opposition et son recours, « lors d'un coup porté pour retourner la balle de tennis dans le camp adverse ». À l'expert, il aurait rapporté que l'événement était intervenu alors qu'il était en train d'effectuer un service. Le recourant n'a pas contesté la version des faits retenue par l'expert. Cela étant, quelle que soit la version des faits, il s'agissait d'un geste usuel au tennis, soit un service ou retour de balle. Le seul fait que le geste ait eu une certaine intensité, ou violence, ne suffit pas à retenir une cause externe d'un caractère extraordinaire. Le recourant n'a pas rendu vraisemblable qu'il aurait effectué un geste totalement imprévisible dans le cadre d'un match de tennis. C'est donc à juste titre que l'intimé a retenu que l’événement du 26 novembre 2017 ne constituait pas un accident au sens de l'art. 6 al. 1 LAA. 11. Le seul diagnostic retrouvé par l'expert correspondant à une lésion listée à l'art. 6 al. 2 LAA est celui d'une fissuration de la capsule postero-inférieure de l'épaule droite de l'assuré. L'expert a retenu que cette lésion était imputable à plus de 50% à une situation chronique d'usure, liée à un état maladif. Il en résulte que l'intimée était également fondée à refuser d'octroyer des prestations au recourant sous l'angle de l'art. 6 al. 2 LAA. 12. Les frais qui découlent de la mise en œuvre d'une expertise judiciaire peuvent être mis à la charge de l'assureur (cf. ATF 139 V 349 consid. 5.4), si ce dernier a procédé à une instruction présentant des lacunes ou des insuffisances caractérisées</w:t>
      </w:r>
    </w:p>
    <w:p>
      <w:r>
        <w:t>A/801/2019 - 15/16 - et que l'expertise judiciaire sert à pallier des manquements commis dans la phase d'instruction administrative (ATF 137 V 210 consid. 4.4.2). En l’espèce, une expertise judiciaire a été ordonnée par la chambre de céans, qui a considéré que cette mesure d’instruction était nécessaire, au vu des rapports médicaux contradictoires figurant au dossier. Il se justifie, en conséquence, de mettre les frais de l’expertise à la charge de l’intimée. 13. Les frais de l’expertise judiciaire de CHF 3'222.30, selon la facture du 6 août 2020 du Dr I______, sont mis à la charge de l’intimée. 14. La procédure est gratuite.</w:t>
      </w:r>
    </w:p>
    <w:p>
      <w:r>
        <w:t>A/801/2019 - 16/16 -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