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ATAS/253/2019 vom 26. März 2019</w:t>
      </w:r>
    </w:p>
    <w:p>
      <w:r>
        <w:t>GE Cour de justice, 2019-03-26, FR</w:t>
      </w:r>
    </w:p>
    <w:p>
      <w:r>
        <w:rPr>
          <w:b/>
        </w:rPr>
        <w:t xml:space="preserve">Quelle: </w:t>
      </w:r>
      <w:r>
        <w:t>https://mcp.opencaselaw.ch/entscheid/ge_gerichte_ATAS_253_2019</w:t>
      </w:r>
    </w:p>
    <w:p>
      <w:r>
        <w:t>FR: GE_GERICHTE ATAS/253/2019 du 26 mars 2019</w:t>
      </w:r>
    </w:p>
    <w:p>
      <w:r>
        <w:t>IT: GE_GERICHTE ATAS/253/2019 del 26 marzo 2019</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56 des CGA prévoit qu’en cas de contestation découlant du contrat, le preneur d’assurance, respectivement l’assuré, a le choix entre le for de Lucerne, ou celui de son domicile en Suisse, ou celui de son lieu de travail. Le lieu de travail du demandeur se trouvant à Genève, la chambre de céans est compétente à raison du lieu pour connaître de la présente demande.</w:t>
      </w:r>
    </w:p>
    <w:p>
      <w:r>
        <w:rPr>
          <w:b/>
        </w:rPr>
        <w:t>E. 3</w:t>
      </w:r>
    </w:p>
    <w:p>
      <w:r>
        <w:t>L’employeur en tant que preneur d’assurance et la défenderesse en qualité d’assureur sont liés par un contrat collectif d’indemnités journalières selon la LCA. Par cette convention, le demandeur, en tant que collaborateur de l'employeur, était couvert contre le risque de perte de gain due à la maladie. Il s’agit d’une assurance au profit de tiers (art. 18 al. 3 LCA), qui confère un droit propre à l’assuré que ce</w:t>
      </w:r>
    </w:p>
    <w:p>
      <w:r>
        <w:t>A/2790/2018 - 4/10 - dernier peut faire valoir contre l’assureur en vertu de l’art. 87 LCA, disposition de droit impératif (cf. art. 98 LCA ; ATF 141 III 112 consid. 4.3). Par conséquent, le demandeur possède la légitimation active pour agir contre la défenderesse.</w:t>
      </w:r>
    </w:p>
    <w:p>
      <w:r>
        <w:rPr>
          <w:b/>
        </w:rPr>
        <w:t>E. 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5</w:t>
      </w:r>
    </w:p>
    <w:p>
      <w:r>
        <w:t>a. La procédure simplifiée s'applique aux litiges portant sur des assurances complémentaires à l’assurance-maladie sociale au sens de la LAMal (art. 243 al. 2 let. f CPC) et la chambre de céans établit les faits d'office (art. 247 al. 2 let. a CPC). À teneur de l’art 244 al. 1 CPC, la demande peut être déposée dans les formes prescrites à l'art. 130 ou dictée au procès-verbal au tribunal. Elle contient la désignation des parties (let. a), les conclusions (let. b), la description de l'objet du litige (let. c), si nécessaire, l'indication de la valeur litigieuse (let. d), ainsi que la date et la signature (let. e). Une motivation n’est pas nécessaire (art. 244 al. 2 CPC). b. Les conclusions doivent être formulées de manière à ce qu'elles puissent être reprises dans le dispositif de la décision et être exécutées en cas d'admission de la demande (PAHUD, in Schweizerische Zivilprozessordnung (ZPO), Brunner et al., 2ème éd. 2016, n. 7 ad art. 221 CPC). Le demandeur doit ainsi indiquer de manière concrète, claire et déterminée ce qu'il réclame (WILLISEGGER, in Basler Kommentar, Schweizeriasche Zivilprozessordnung, 3ème éd. 2017, n. 12 ad art. 221 CPC).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du Tribunal fédéral 4A_688/2011 du 17 avril 2012 consid. 2 non publié in ATF 138 III 425 ; 2C_861/2015 du 11 février 2016 consid. 1.2). Lorsque des conclusions ne sont pas claires ou incomplètes, la demande est irrecevable (WILLISEGGER, op. cit. n. 20 ad art. 221 CPC). Dans l’interprétation selon le principe de la bonne foi, l’autorité peut tenir compte du fait que le demandeur n’est pas représenté par un avocat et a rédigé lui-même ses conclusions (arrêt du Tribunal fédéral 4A_551/2008 du 12 mai 2009 consid. 2.3). c. En l'occurrence, le demandeur, qui comparaît en personne, n'a pas pris de conclusions formelles. Il ressort toutefois de la motivation de son écriture, rédigée à la main et de manière succincte, qu'il demande le remboursement du montant</w:t>
      </w:r>
    </w:p>
    <w:p>
      <w:r>
        <w:t>A/2790/2018 - 5/10 - restitué par l'assurance-invalidité à la défenderesse. La chambre de céans comprend dès lors que le demandeur conteste le principe de la restitution de la somme de CHF 5'464.80 à l'assurance perte de gain. La demande est dès lors également recevable sous cet angle.</w:t>
      </w:r>
    </w:p>
    <w:p>
      <w:r>
        <w:rPr>
          <w:b/>
        </w:rPr>
        <w:t>E. 6</w:t>
      </w:r>
    </w:p>
    <w:p>
      <w:r>
        <w:t>Le litige porte ainsi sur le bien-fondé de la prétention en restitution de CHF 5'464.80 que la défenderesse fait valoir à titre de surindemnisation. a. Conformément à la norme impérative de l'art. 71 al. 1 LCA (art. 97 al. 1 LCA), relative au cumul des prestations d'assurances de dommage, en cas de double assurance au sens de l'art. 53 LCA, chaque assureur répond du dommage dans la proportion qui existe entre la somme assurée par lui et le montant total des sommes assurées. Cette disposition concrétise, en matière de contrat d'assurance contre les dommages, le principe indemnitaire, qui a pour corollaire la prohibition de la surindemnisation (arrêt du Tribunal fédéral des assurances B 66/00 du 28 juin 2002 consid. 5b et les références). Selon l'art. 53 LCA, il y a double assurance lorsque le même intérêt est assuré contre le même risque et pour le même temps de telle manière que les sommes assurées réunies dépassent la valeur d'assurance. b. En matière d'assurance privée, les parties peuvent convenir d'une assurance de personnes (dite aussi assurance de sommes) ou d'une assurance contre les dommages. Pour ranger une prestation donnée dans l’une ou l’autre de ces deux catégories, il faut se demander si ladite prestation couvre un dommage concret ou si elle doit être effectuée indépendamment de l’existence d’un préjudice effectif (ATF 119 II 361 consid. 4). L’assurance de personnes se distingue de l’assurance de dommage par sa nature non indemnitaire : il s'agit d'une promesse de capital indépendante du montant effectif du préjudice subi par le preneur ou l'ayant droit.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(ATF 119 II 361 consid. 4 ; 104 II 44 consid. 4c).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du 22 février 2011 consid. 5.2.3). Une telle assurance compense un dommage effectif ; l'ampleur de la prestation dépend par conséquent de l'étendue du préjudice subi par l'assuré</w:t>
      </w:r>
    </w:p>
    <w:p>
      <w:r>
        <w:t>A/2790/2018 - 6/10 - (Vincent BRULHART, Droit des assurances privées, 2ème éd. 2017, n° 1071ss, p. 521). Lorsque le contrat d'assurance prévoit le versement à l'assuré d'une indemnité journalière forfaitaire en fonction du seul degré de l'incapacité de travail de l'assuré, il s'agit d'une assurance de sommes (ATF 133 III 527 consid. 3.2.4 ; 119 II 361 consid. 4). Dans ce cas, le dommage effectif est sans incidence sur l'allocation de la prestation (Vincent BRULHART, op. cit., n° 1073 p. 521).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 c. Le droit aux prestations d'assurances se détermine sur la base des dispositions contractuelles liant l'assuré et l'assureur, en particulier des conditions générales ou spéciales d'assurance (arrêt du Tribunal fédéral 5C.253/2000 du 6 mars 2001 consid. 4a). Les principes généraux de l'interprétation des contrats s'appliquent au contrat d'assurance. En effet, l'art. 100 LCA renvoie au droit des obligations, et partant, au Code des obligations.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5C.44/2004 du 21 mai 2004 consid. 2.1).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w:t>
      </w:r>
    </w:p>
    <w:p>
      <w:r>
        <w:t>A/2790/2018 - 7/10 -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 Unklarheitsregel ») (ATF 122 III 118 consid. 2a ; arrêt du Tribunal fédéral 5C.208/2006 du</w:t>
      </w:r>
    </w:p>
    <w:p>
      <w:r>
        <w:rPr>
          <w:b/>
        </w:rPr>
        <w:t>E. 8</w:t>
      </w:r>
    </w:p>
    <w:p>
      <w:r>
        <w:t>La demande doit dès lors être rejetée. Il n'est pas alloué de dépens à la charge du demandeur (art. 22 al. 3 let. b de la loi d'application du code civil suisse et d’autres lois fédérales en matière civile du</w:t>
      </w:r>
    </w:p>
    <w:p>
      <w:r>
        <w:rPr>
          <w:b/>
        </w:rPr>
        <w:t>E. 11</w:t>
      </w:r>
    </w:p>
    <w:p>
      <w:r>
        <w:t>octobre 2012 [LaCC - E 1 05]) ni perçu de frais judiciaires (art. 114 let. e CPC). ******</w:t>
      </w:r>
    </w:p>
    <w:p>
      <w:r>
        <w:t>A/2790/2018 - 10/10 -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