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ATAS/253/2018 vom 20. März 2018</w:t>
      </w:r>
    </w:p>
    <w:p>
      <w:r>
        <w:t>GE Cour de justice, 2018-03-20, FR</w:t>
      </w:r>
    </w:p>
    <w:p>
      <w:r>
        <w:rPr>
          <w:b/>
        </w:rPr>
        <w:t xml:space="preserve">Quelle: </w:t>
      </w:r>
      <w:r>
        <w:t>https://mcp.opencaselaw.ch/entscheid/ge_gerichte_ATAS_253_2018</w:t>
      </w:r>
    </w:p>
    <w:p>
      <w:r>
        <w:t>FR: GE_GERICHTE ATAS/253/2018 du 20 mars 2018</w:t>
      </w:r>
    </w:p>
    <w:p>
      <w:r>
        <w:t>IT: GE_GERICHTE ATAS/253/2018 del 20 marzo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 Conformément à l'art. 134 al. 1 let. a ch. 5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</w:t>
      </w:r>
    </w:p>
    <w:p>
      <w:r>
        <w:rPr>
          <w:b/>
        </w:rPr>
        <w:t>E. 6</w:t>
      </w:r>
    </w:p>
    <w:p>
      <w:r>
        <w:t>a. Le recours sera donc admis, et la décision sur opposition attaquée (qui s’est substituée à la décision initiale) sera annulée. b. La procédure est gratuite (art. 61 let. a LPGA). Compte tenu de l’issue donnée au recours, une indemnité de procédure sera allouée au recourant, à la charge de l’intimée. Son montant sera arrêté à CHF 2’000.-. * * * * * *</w:t>
      </w:r>
    </w:p>
    <w:p>
      <w:r>
        <w:t>A/4051/2017 - 11/11 -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