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ATAS/253/2009 vom 4. März 2009</w:t>
      </w:r>
    </w:p>
    <w:p>
      <w:r>
        <w:t>GE Cour de justice, 2009-03-04, FR</w:t>
      </w:r>
    </w:p>
    <w:p>
      <w:r>
        <w:rPr>
          <w:b/>
        </w:rPr>
        <w:t xml:space="preserve">Quelle: </w:t>
      </w:r>
      <w:r>
        <w:t>https://mcp.opencaselaw.ch/entscheid/ge_gerichte_ATAS_253_2009</w:t>
      </w:r>
    </w:p>
    <w:p>
      <w:r>
        <w:t>FR: GE_GERICHTE ATAS/253/2009 du 4 mars 2009</w:t>
      </w:r>
    </w:p>
    <w:p>
      <w:r>
        <w:t>IT: GE_GERICHTE ATAS/253/2009 del 4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litige consiste à déterminer si l'intimé était fondé à supprimer, par voie de révision, le quart de rente du recourant et de lui refuser l'octroi de mesures professionnelles.</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w:t>
      </w:r>
    </w:p>
    <w:p>
      <w:r>
        <w:t>A/3359/2007 - 8/13 -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cependant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Schaffauser/Schlauri [Hrsg], Die Revision von Dauerleistungen in der Sozialversicherung, Saint-Gall, 1999, p. 15). b) Le juge peut, cas échéant, confirmer une décision de révision rendue à tort pour le motif substitué que la décision initiale d'octroi de rente était sans nul doute erronée et que sa rectification revêt une importance considérable (ATF 125 V 368 consid. 2 p.369).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en effet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w:t>
      </w:r>
    </w:p>
    <w:p>
      <w:r>
        <w:t>A/3359/2007 - 9/13 - n° 17 p. 60 [U 378/05] consid. 5.3 et les arrêts cités; arrêt B. du 19 décembre 2002, I 222/02 consid. 3.2).</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A/3359/2007 - 10/13 -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w:t>
      </w:r>
    </w:p>
    <w:p>
      <w:r>
        <w:rPr>
          <w:b/>
        </w:rPr>
        <w:t>E. 8</w:t>
      </w:r>
    </w:p>
    <w:p>
      <w:r>
        <w:t>a) En l'espèce, en procédure de révision, le docteur N________ a diagnostiqué, outre un status après fracture du pouce droit avec arrachement des tendons extenseurs opéré par arthrodèse, des lombalgies chroniques sur discopathies étagées au niveau lombaire existant depuis environ 2001. Le patient ne peut plus serrer la main, ni porter des charges de plus de 2 kg et le poignet est douloureux, surtout en hyperflexion ; il se plaint par ailleurs d'insomnie et de fatigue. L'examen radiologique de la colonne lombaire pratiqué le 3 mai 2005 a mis en évidence un étalement discal circonférentiel L3-L4 associé à une protrusion foraminale droite ainsi qu'à une arthrose inter-facettaire postérieure marquée, le tout entraînant un rétrécissement secondaire, multifactoriel, du canal lombaire à cet étage, le disque venant clairement faire une empreinte sur le fourreau dural par ailleurs, ainsi qu'un étalement discal circonférentiel L4-L5, sans hernie ni protrusion discale décelable. Il s'agit là indiscutablement d'atteintes à la santé nouvelles, apparues postérieurement à la décision initiale, et qui entraînent des limitations fonctionnelles décrites par le docteur N________, en plus de celles concernant le membre supérieur droit, à savoir : la position assise ou debout peut être conservée une demi-heure à une heure par jour ; la position statique doit être évitée, de même que le fait de se baisser, travailler en hauteur, se déplacer sur sol irrégulier ou en pente ainsi que les parcours à pied au-delà de 1'000 à 2'000 mètres ; l'inclinaison du buste et la position accroupie sont prétéritées. En outre, le recourant a abandonné son métier de maçon chez X_________ et augmenté son activité de nettoyeur auprès d'ISS chez qui il travaille désormais à 62.5 %. Il y a dès lors motif à révision, puisque la situation a changé sur le plan professionnel et de la santé. b) S'agissant de la capacité de travail, il sied de relever que l'activité de maçon n'est plus possible selon le docteur N________, le recourant ayant d'ailleurs cessé son activité chez X_________. Dans l'activité de nettoyeur, le médecin indique que la capacité de travail est de 50 %, précisant que le recourant tente de continuer cette activité en ménageant son membre supérieur droit et en évitant de porter de lourdes charges. Selon le recourant, son activité de nettoyeur à 62.5 % est adaptée, et il ne peut faire plus.</w:t>
      </w:r>
    </w:p>
    <w:p>
      <w:r>
        <w:t>A/3359/2007 - 11/13 - Pour le SMR (docteur P_______), le recourant pourrait travailler à 100 % dans une activité adaptée, légère, puisqu'il travaille comme nettoyeur, activité inadaptée selon ce médecin. Cela étant, ce praticien - dont l’avis est en contradiction avec celui du médecin traitant - n’a pas examiné le recourant et s’est contenté d’émettre une hypothèse aux termes de laquelle si l’intéressé pouvait travailler à 60 % dans une activité inadaptée, il pourrait travailler à temps plein dans une activité adaptée. On ne saurait reconnaître valeur probante à cet avis médical, qui tient sur deux lignes et ne repose sur aucune motivation sérieuse. L’avis complémentaire rendu en cours de procédure judiciaire n’y change rien, vu le peu de clarté et de précision avec lesquelles le médecin conseil s’est exprimé. Par ailleurs, les conclusions du médecin traitant n’apparaissent pas suffisantes pour trancher la question de la capacité résiduelle de travail de l’intéressé, faute d’être suffisamment détaillées : on ne sait en effet pas vraiment ce que le médecin entend par capacité résiduelle de travail à 50 % dans l’activité de nettoyeur telle qu’exercée actuellement ou dans une autre activité adaptée, d’une part et, d’autre part, rendement diminué de 50 %. L’un se confond-il avec l’autre ou y a-t-il addition des deux ? Si la première hypothèse prévaut, ce qui semble être le cas, cela voudrait cependant dire que l’assuré travaille au-delà de ses limites, ce qui pose également problème pour évaluer correctement le revenu d’invalide, dès lors qu’on ne sait pas si l’intéressé va pouvoir suivre le rythme de travail qu’il s’est imposé et si cela ne risque pas de nuire à sa capacité de travail sur le long terme. A propos de l’activité actuelle, on doit par ailleurs relever que les tâches exactes exercées par le recourant dans son emploi auprès de Z_______ SA ne sont pas clairement établies (il y a notamment contradiction entre les déclarations du recourant et celles données par téléphone par l’entreprise). Partant, il est d’autant plus difficile de déterminer si cette activité est, finalement, adaptée ou non (que cela soit eu égard aux tâches assumées ou au taux de travail). On notera au passage que la rémunération horaire est conditionnée par le type de tâches effectuées. c) En pareilles circonstances, le Tribunal ne peut se prononcer sur la capacité de travail résiduelle du recourant ni, partant, effectuer une comparaison avec la situation prévalant au moment de l’octroi initial de la rente. On relèvera toutefois que l’état de santé qui était susceptible d’amélioration selon le docteur M________ en 1997 semble au contraire s’être péjoré eu égard à de nouvelles atteintes. Dès lors, vu l’absence de renseignements probants récoltés par l’intimé, le dossier sera renvoyé à ce dernier pour mise en œuvre d’une expertise médicale sur la personne du recourant en vue de déterminer sa capacité de travail résiduelle et ses limitations fonctionnelles et, cas échéant, l’impact éventuel d’un taux de travail effectif supérieur à ce qui est exigible. En cas de nécessité, un stage d’observation professionnelle visant à clarifier le rendement exigible ainsi que les activités qui demeurent à la portée de l’intéressé compte tenu des limitations posées médicalement sera également organisé.</w:t>
      </w:r>
    </w:p>
    <w:p>
      <w:r>
        <w:t>A/3359/2007 - 12/13 - Une fois ces mesures d’instruction effectuées, il appartiendra à l’intimé d’évaluer le taux d’invalidité et, partant, le droit à d’éventuelles mesures de réadaptation, ainsi que le droit à la rente. Il est par ailleurs précisé que, dans l’intervalle, le recourant a droit au maintien de son quart de rente.</w:t>
      </w:r>
    </w:p>
    <w:p>
      <w:r>
        <w:rPr>
          <w:b/>
        </w:rPr>
        <w:t>E. 9</w:t>
      </w:r>
    </w:p>
    <w:p>
      <w:r>
        <w:t>Vu ce qui précède, le recours sera partiellement admis, la décision querellée annulée et le dossier renvoyé à l’autorité administrative afin qu’elle procède conformément aux considérants. Eu égard à l’issue du litige, l’intimé versera au recourant la somme de 2'750 fr. à titre de participation à ses dépens et s’acquittera d’un montant de 500 fr. correspondant à l’émolument de justice.</w:t>
      </w:r>
    </w:p>
    <w:p>
      <w:r>
        <w:t>A/3359/2007 - 13/13 -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