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ATAS/253/2003 vom 25. November 2003</w:t>
      </w:r>
    </w:p>
    <w:p>
      <w:r>
        <w:t>GE Cour de justice, 2003-11-25, FR</w:t>
      </w:r>
    </w:p>
    <w:p>
      <w:r>
        <w:rPr>
          <w:b/>
        </w:rPr>
        <w:t xml:space="preserve">Quelle: </w:t>
      </w:r>
      <w:r>
        <w:t>https://mcp.opencaselaw.ch/entscheid/ge_gerichte_ATAS_253_2003</w:t>
      </w:r>
    </w:p>
    <w:p>
      <w:r>
        <w:t>FR: GE_GERICHTE ATAS/253/2003 du 25 novembre 2003</w:t>
      </w:r>
    </w:p>
    <w:p>
      <w:r>
        <w:t>IT: GE_GERICHTE ATAS/253/2003 del 25 novembre 2003</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(ATF 127 V 467 consid. 1).</w:t>
      </w:r>
    </w:p>
    <w:p>
      <w:r>
        <w:rPr>
          <w:b/>
        </w:rPr>
        <w:t>E. 2</w:t>
      </w:r>
    </w:p>
    <w:p>
      <w:r>
        <w:t>Selon l’article 7 al. 1 CO, celui des débiteurs solidaires dont le paiement ou la compensation éteint la dette en totalité ou en partie libère les autres jusqu’à concurrence de la portion éteinte ;</w:t>
      </w:r>
    </w:p>
    <w:p>
      <w:r>
        <w:rPr>
          <w:b/>
        </w:rPr>
        <w:t>E. 3</w:t>
      </w:r>
    </w:p>
    <w:p>
      <w:r>
        <w:t>En l’espèce, le dommage a été intégralement payé par Monsieur T__________, débiteur solidaire ;</w:t>
      </w:r>
    </w:p>
    <w:p>
      <w:r>
        <w:rPr>
          <w:b/>
        </w:rPr>
        <w:t>E. 4</w:t>
      </w:r>
    </w:p>
    <w:p>
      <w:r>
        <w:t>Dès lors, l’action en réparation du dommage et la requête de mainlevée sont devenues sans objet ; * * *</w:t>
      </w:r>
    </w:p>
    <w:p>
      <w:r>
        <w:t>- 4/4-</w:t>
      </w:r>
    </w:p>
    <w:p>
      <w:r>
        <w:t>A/1415/2000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