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ATAS/252/2015 vom 7. April 2015</w:t>
      </w:r>
    </w:p>
    <w:p>
      <w:r>
        <w:t>GE Cour de justice, 2015-04-07, FR</w:t>
      </w:r>
    </w:p>
    <w:p>
      <w:r>
        <w:rPr>
          <w:b/>
        </w:rPr>
        <w:t xml:space="preserve">Quelle: </w:t>
      </w:r>
      <w:r>
        <w:t>https://mcp.opencaselaw.ch/entscheid/ge_gerichte_ATAS_252_2015</w:t>
      </w:r>
    </w:p>
    <w:p>
      <w:r>
        <w:t>FR: GE_GERICHTE ATAS/252/2015 du 7 avril 2015</w:t>
      </w:r>
    </w:p>
    <w:p>
      <w:r>
        <w:t>IT: GE_GERICHTE ATAS/252/2015 del 7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A/1925/2014 - 7/12 -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2012, voire à 2009.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Interjeté dans la forme et le délai prévus par la loi, le recours est recevable (art. 56 à 61 LPGA).</w:t>
      </w:r>
    </w:p>
    <w:p>
      <w:r>
        <w:rPr>
          <w:b/>
        </w:rPr>
        <w:t>E. 4</w:t>
      </w:r>
    </w:p>
    <w:p>
      <w:r>
        <w:t>Le litige porte sur le droit de l’assurée à une demi-rente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I.786/04 du 19 janvier 2006 consid. 3.1).</w:t>
      </w:r>
    </w:p>
    <w:p>
      <w:r>
        <w:t>A/1925/2014 - 8/12 -</w:t>
      </w:r>
    </w:p>
    <w:p>
      <w:r>
        <w:rPr>
          <w:b/>
        </w:rPr>
        <w:t>E. 7</w:t>
      </w:r>
    </w:p>
    <w:p>
      <w:r>
        <w:t>En vertu de l'art. 28 al. 2 LAI, l'assuré a droit à une rente entière s'il est invalide à 70% au moins, à un trois-quart de rente s'il est invalide à 60% au moins, à une demi-rente s'il est invalide à 50% au moins, ou à un quart de rente s'il est invalide à 40% au moins (art. 28 al. 2 LAI).</w:t>
      </w:r>
    </w:p>
    <w:p>
      <w:r>
        <w:rPr>
          <w:b/>
        </w:rPr>
        <w:t>E. 8</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A/1925/2014 - 9/12 - donné l'importance conférée aux rapports médicaux dans le droit des assurances sociales, il y a lieu toutefois de poser des exigences sévères quant à l'impartialité de l'expert (ATF 125 V 351 consid. 3b/ee).</w:t>
      </w:r>
    </w:p>
    <w:p>
      <w:r>
        <w:rPr>
          <w:b/>
        </w:rPr>
        <w:t>E. 12</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15</w:t>
      </w:r>
    </w:p>
    <w:p>
      <w:r>
        <w:t>Enfin, le juge des assurances sociales fonde sa décision, sauf dispositions contraires de la loi, sur les faits qui, faute d’être établis de manière irréfutable, apparaissent comme les plus vraisemblables, c’est-à-dire qui présentent un degré de</w:t>
      </w:r>
    </w:p>
    <w:p>
      <w:r>
        <w:t>A/1925/2014 - 10/12 -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16</w:t>
      </w:r>
    </w:p>
    <w:p>
      <w:r>
        <w:t>En l’espèce, l’assurée a repris son activité lucrative dès octobre 2013 à 70% de son 70%. Elle estime qu’elle ne peut travailler davantage. Son médecin traitant le confirme. Force est de constater qu’en revanche selon le Dr C______, « à mon avis, il n’y a pas matière à intervenir de la part de l’AI. Même si la patiente est gênée, on peut exiger d’elle qu’elle accomplisse une activité rémunératrice. Son poste actuel est tout à fait adapté ». Il est vrai que le Dr C______ n’a été consulté par l’assurée qu’une seule fois, dans le but de déterminer si une intervention chirurgicale devait être envisagée. La Dresse E______ a à cet égard précisé que « ma patiente ne souffre pas d’atteinte neurologique, mais je voulais être sûre qu’il ne serait pas utile de procéder à un blocage des vertèbres cervicales » (cf. PV d’enquêtes du 17 février 2015). Le Dr C______ disposait toutefois des mêmes éléments objectifs (examen clinique et radiographies) que la Dresse E______ pour émettre son avis. Le fait qu’il n’ait vu l’assurée qu’une seule fois importe peu dans ces conditions. Les diagnostics retenus par les médecins et leurs constatations sont identiques. Seules les appréciations et conclusions divergent. La Dresse E______ a ainsi clairement indiqué qu’elle ne partageait pas le point de vue du Dr C______ quant à la capacité de travail de sa patiente. Il y a toutefois lieu de relever qu’elle se fonde quant à elle sur des appréciations subjectives. Elle explique en effet que « j’avais demandé à ma patiente de mettre par écrit chaque jour le rythme et l’intensité de ses douleurs. C’est alors que je me suis rendue compte à quel point son handicap était important. Sa qualité de vie n’est pas satisfaisante du tout ». Il y a à cet égard lieu de rappeler que selon la jurisprudence,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w:t>
      </w:r>
    </w:p>
    <w:p>
      <w:r>
        <w:t>A/1925/2014 - 11/12 - syndromes sans origine pathogène ou étiologique claire aux mêmes exigences en matière d'assurances sociales (ATFA non publié I 70/07 du 14 avril 2008, consid. 5). La Dresse E______ n’a pas expliqué pour quels motifs précisément elle ne partageait pas l’avis du Dr C______. Elle s’est bornée à ajouter que « ses douleurs n’étant pas constantes, en rythme et en intensité, je dois dire que ma patiente peut vraisemblablement accomplir les tâches ménagères sans problème certains jours, d’autres jours pas ». Il y a au surplus lieu de constater que la Dresse E______ se contente de prescrire à l’assurée des myorelaxants et du paracétamol. Sur le plan psychique, par ailleurs, le Dr D______ s’est borné à renvoyer la question de l’appréciation de la capacité de travail à la Dresse E______. Il n’a ainsi délibérément pas fixé d’incapacité de travail.</w:t>
      </w:r>
    </w:p>
    <w:p>
      <w:r>
        <w:rPr>
          <w:b/>
        </w:rPr>
        <w:t>E. 17</w:t>
      </w:r>
    </w:p>
    <w:p>
      <w:r>
        <w:t>La chambre de céans considère que le dossier contient suffisamment d’indications médicales fiables, de sorte que des mesures d’instruction complémentaire ne se justifient pas. Rien en l’état ne permet de mettre en doute les conclusions du Dr C______. Force est ainsi de conclure que la capacité de travail de l’assurée est entière dans son activité habituelle. Il va de soi que ses efforts pour garder son emploi (réduction de son temps de travail en 2009 et aménagement de son poste de travail avec l’aide de son employeur) sont à saluer. Il n’en reste pas moins qu’en l’état, son état de santé n’est pas tel qu’il justifie l’octroi d’une rente d’invalidité. Au vu de ce qui précède, le recours ne peut être que rejeté.</w:t>
      </w:r>
    </w:p>
    <w:p>
      <w:r>
        <w:t>A/1925/2014 - 12/12 -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