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ATAS/252/2014 vom 4. März 2014</w:t>
      </w:r>
    </w:p>
    <w:p>
      <w:r>
        <w:t>GE Cour de justice, 2014-03-04, FR</w:t>
      </w:r>
    </w:p>
    <w:p>
      <w:r>
        <w:rPr>
          <w:b/>
        </w:rPr>
        <w:t xml:space="preserve">Quelle: </w:t>
      </w:r>
      <w:r>
        <w:t>https://mcp.opencaselaw.ch/entscheid/ge_gerichte_ATAS_252_2014</w:t>
      </w:r>
    </w:p>
    <w:p>
      <w:r>
        <w:t>FR: GE_GERICHTE ATAS/252/2014 du 4 mars 2014</w:t>
      </w:r>
    </w:p>
    <w:p>
      <w:r>
        <w:t>IT: GE_GERICHTE ATAS/252/2014 del 4 marzo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l'existence d'une incapacité de travail due à la maladie.</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A/833/2013 - 7/10 -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c)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d)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w:t>
      </w:r>
    </w:p>
    <w:p>
      <w:r>
        <w:t>A/833/2013 - 8/10 -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En l'espèce, l'assuré est en arrêt de travail à 100% depuis le 9 septembre 2011. Il ressort de l'ensemble des rapports médicaux réunis par l'OAI avant la décision du</w:t>
      </w:r>
    </w:p>
    <w:p>
      <w:r>
        <w:rPr>
          <w:b/>
        </w:rPr>
        <w:t>E. 11</w:t>
      </w:r>
    </w:p>
    <w:p>
      <w:r>
        <w:t>février 2013 que l'assuré présentait un état anxio-dépressif lié à un important conflit professionnel, mais que dans un autre poste ou une autre entreprise, moyennent la poursuite du traitement psychothérapeutique et médicamenteux, il disposait d'une pleine capacité de travail. Aucun rapport médical ne retient d'incapacité de travail dans un autre emploi avant la décision. D'ailleurs, entendu par l'OAI en avril 2012, l'assuré a confirmé qu'il recherchait activement un autre emploi. X__________ avait au surplus mis sur pied un projet de réinsertion. C'est donc sur la base des renseignements médicaux des médecins et psychologues de l'assuré que le SMR a estimé en novembre 2012, à juste titre, qu'il ne s'agissait pas d'un problème médical mais d'un conflit de travail qui pourrait être réglé par un simple changement de poste. Les rapports médicaux au dossier et cet avis étant</w:t>
      </w:r>
    </w:p>
    <w:p>
      <w:r>
        <w:t>A/833/2013 - 9/10 - convaincants, il n'y avait pas lieu de s'en écarter à défaut d'un avis médical divergeant. La décision du 11 février 2013 était donc correctement fondée sur l'appréciation médicale du SMR. Il est toutefois apparu dans le cadre de l'instruction ordonnée par la Cour que l'état de santé de l'assuré avait subi une aggravation en janvier 2013, après la notification du projet de refus de l'OAI, qui avait nécessité une prise en charge de crise au CTB, en raison d'idées suicidaires, la poursuite du suivi au CAPPI jusqu'au 4 avril 2012, puis un suivi spécialisé par la Dresse B__________, psychiatre, dès le 2 mai 2013. Cela étant, les rapports médicaux de ce psychiatre-traitant ne permettent pas de retenir que l'assuré aurait été totalement incapable de travailler dans toute activité dès le mois de janvier 2013. Elle retient en effet un état dépressif de gravité moyenne et non pas sévère, avec une prise en charge bimensuelle jusqu'en septembre 2013. Depuis lors, soit avant l'échéance du délai de carence d'un an dès début janvier 2013, le suivi a pu être espacé à une séance mensuelle, avec un arrêt de la médication et un certificat de reprise du travail. Cela étant, comme le soulève cette psychiatre, le risque de rechute n'est pas exclu et la fin du traitement a été décidé à la demande du patient. Il convient donc de renvoyer la cause à l'OAI afin qu'il procède à une instruction complémentaire, d'abord auprès de la Dresse B__________, afin de savoir si l'amélioration s'est confirmée, puis, en cas de rechute, en procédant à un examen ou une expertise psychiatrique de l'assuré, afin de déterminer l'évolution de son état et de sa capacité de travail dès janvier 2013. Le cas échéant, l'apport de l'éventuel avis médical du médecin-conseil de X__________ – l'assuré étant vraisemblablement toujours employé et salarié - serait utile. 9. Le recours est partiellement admis, la décision du 11 février 2013 est annulée et la cause est renvoyée à l'OAI pour instruction complémentaire dans le sens des considérants. Compte tenu du fait que, lors de la décision litigieuse, aucune aggravation de l’état de santé de l’assuré n’avait été portée à la connaissance de l’OAI, la Cour renoncera à mettre à la charge de l’intimé un émolument.</w:t>
      </w:r>
    </w:p>
    <w:p>
      <w:r>
        <w:t>A/833/2013 - 10/10 -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