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ATAS/251/2024 vom 22. April 2024</w:t>
      </w:r>
    </w:p>
    <w:p>
      <w:r>
        <w:t>GE Cour de justice, 2024-04-22, FR</w:t>
      </w:r>
    </w:p>
    <w:p>
      <w:r>
        <w:rPr>
          <w:b/>
        </w:rPr>
        <w:t xml:space="preserve">Quelle: </w:t>
      </w:r>
      <w:r>
        <w:t>https://mcp.opencaselaw.ch/entscheid/ge_gerichte_ATAS_251_2024</w:t>
      </w:r>
    </w:p>
    <w:p>
      <w:r>
        <w:t>FR: GE_GERICHTE ATAS/251/2024 du 22 avril 2024</w:t>
      </w:r>
    </w:p>
    <w:p>
      <w:r>
        <w:t>IT: GE_GERICHTE ATAS/251/2024 del 22 aprile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Dans le cadre de la réforme de la LPC, entrée en vigueur le 1er janvier 2021, de nombreuses dispositions ont été modifiées (FF 2016 7249 ; RO 2020 585). Dans la mesure où le recours porte sur le droit aux prestations complémentaires à partir du mois de février 2023, soit une période postérieure au 1er janvier 2021, le présent litige est soumis au nouveau droit. Les dispositions légales seront donc citées ci-après dans leur teneur en vigueur dès le 1er janvier 2021.</w:t>
      </w:r>
    </w:p>
    <w:p>
      <w:r>
        <w:rPr>
          <w:b/>
        </w:rPr>
        <w:t>E. 4</w:t>
      </w:r>
    </w:p>
    <w:p>
      <w:r>
        <w:t>Le recours est recevable, quant à la forme et au délai (art. 56 al. 1 et 60 al. 1 LPGA ; art. 9 de la loi cantonale sur les prestations fédérales complémentaires à l’assurance-vieillesse et survivants et à l’assurance-invalidité du 14 octobre 1965 [LPFC - J 4 20] ; art. 43 LPCC).</w:t>
      </w:r>
    </w:p>
    <w:p>
      <w:r>
        <w:rPr>
          <w:b/>
        </w:rPr>
        <w:t>E. 5</w:t>
      </w:r>
    </w:p>
    <w:p>
      <w:r>
        <w:t>Le litige porte sur le droit de la recourante à des prestations complémentaires, singulièrement sur la question de savoir si sa fortune nette est supérieure au seuil prévu par la loi.</w:t>
      </w:r>
    </w:p>
    <w:p>
      <w:r>
        <w:rPr>
          <w:b/>
        </w:rPr>
        <w:t>E. 6.1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w:t>
      </w:r>
    </w:p>
    <w:p>
      <w:r>
        <w:t>A/3507/2023 - 6/13 - notamment les personnes qui perçoivent une rente de vieillesse de l'assurance-vieillesse et survivants, conformément à l'art. 4 al. 1 let. a LPC. Ont droit aux prestations complémentaires cantonales les personnes dont le revenu annuel déterminant n’atteint pas le revenu minimum cantonal d’aide sociale applicable (art. 4 LPCC). Aux termes de l’art. 9a al. 1 let. a LPC ont droit à des PC les personnes seules dont la fortune nette est inférieure à CHF 100’000.-. L’al. 3 précise que les parts de fortune visées à l’art. 11a al. 2 à 4 LPC font partie de la fortune nette au sens de l’al. 1.</w:t>
      </w:r>
    </w:p>
    <w:p>
      <w:r>
        <w:rPr>
          <w:b/>
        </w:rPr>
        <w:t>E. 6.2</w:t>
      </w:r>
    </w:p>
    <w:p>
      <w:r>
        <w:t>Selon l’art. 11a al. 2 LPC, les autres revenus, parts de fortune et droits légaux ou contractuels auxquels l’ayant droit a renoncé sans obligation légale et sans contre-prestation adéquate sont pris en compte dans les revenus déterminants comme s’il n’y avait pas renoncé. Selon l’art. 17b let. a de l'ordonnance sur les prestations complémentaires à l’assurance-vieillesse, survivants et invalidité du 15 janvier 1971 (OPC - AVS/AI - RS 831.301),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17c OPC-AVS/AI).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(office fédéral des assurances sociales, Directives concernant les prestations complémentaires à l'AVS et à l'AI [ci-après : DPC], état au 1er janvier 2022, ch. 3532.04 ; ATF 120 V 182 consid. 4b ; arrêt du Tribunal fédéral 9C_67/2011 du 29 août 2011 consid. 5.1). L'art. 11a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w:t>
      </w:r>
    </w:p>
    <w:p>
      <w:r>
        <w:t>A/3507/2023 - 7/13 -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Lorsque la fortune diminue de façon substantielle sans que le bénéficiaire des prestations complémentaires puisse prouver l’utilisation qu’il en a faite, on suppose aussi, en principe, qu’il y a dessaisissement (DPC, ch. 3532.09). En outre, seules sont considérées comme involontaires les pertes de fortune qui ne sont pas imputables à une action intentionnelle ou à une négligence grave du bénéficiaire de PC, par exemple des pertes imprévisibles sur les marchés boursiers ou imputables à des défauts de paiement de prêts. Le bénéficiaire de PC doit apporter la preuve de ces pertes (DPC, ch. 3533.25).</w:t>
      </w:r>
    </w:p>
    <w:p>
      <w:r>
        <w:rPr>
          <w:b/>
        </w:rPr>
        <w:t>E. 7.1</w:t>
      </w:r>
    </w:p>
    <w:p>
      <w:r>
        <w:t>Le dessaisissement suppose que l’assuré ait la capacité de discernement s’agissant de la diminution de sa fortune (arrêt du Tribunal fédéral 9C_934/2009 du 28 avril 2010 consid. 5.1). Selon l’art. 16 du Code civil suisse du</w:t>
      </w:r>
    </w:p>
    <w:p>
      <w:r>
        <w:rPr>
          <w:b/>
        </w:rPr>
        <w:t>E. 7.2</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t>A/3507/2023 - 9/13 - 9.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arrêt du Tribunal fédéral des assurances P 59/02 du 28 août 2003 consid. 3.3 et les références).</w:t>
      </w:r>
    </w:p>
    <w:p>
      <w:r>
        <w:rPr>
          <w:b/>
        </w:rPr>
        <w:t>E. 10</w:t>
      </w:r>
    </w:p>
    <w:p>
      <w:r>
        <w:t>décembre 1907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w:t>
      </w:r>
    </w:p>
    <w:p>
      <w:r>
        <w:t>A/3507/2023 - 8/13 - particulier par rapport à de nouvelles tâches et des situations de vie inhabituelles – ainsi qu'une propension élevée à être influencé (Franz WERRO/ Irène SCHMIDLIN in Commentaire romand, Code civil I, 2010, n. 39 ad art. 16). La capacité de discernement est la règle ;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10.1</w:t>
      </w:r>
    </w:p>
    <w:p>
      <w:r>
        <w:t>En l’occurrence, la recourante ne conteste pas avoir renoncé à des parts de fortune sans obligation légale et sans contre-prestation adéquate. Elle considère cependant qu’elle ne disposait pas de la capacité de discernement nécessaire au moment où sa fortune a diminué.</w:t>
      </w:r>
    </w:p>
    <w:p>
      <w:r>
        <w:rPr>
          <w:b/>
        </w:rPr>
        <w:t>E. 10.1.1</w:t>
      </w:r>
    </w:p>
    <w:p>
      <w:r>
        <w:t>La chambre de céans relève que le seul élément médical au dossier, soit l’évaluation psycho gériatrique de la Dre H______, a été établi en avril 2021, soit après les dessaisissements litigieux, intervenus entre 2018 et 2020. Il en va de même de la procédure par-devant le TPAE qui a commencé après le signalement du 12 novembre 2020 du frère de la recourante. Il n’en demeure pas moins que la recourante est au bénéfice d’une rente d’invalidité en raison de troubles psychiques, (non déterminés) depuis le début des années 1990 et qu’en outre, la mise sous curatelle (en urgence à titre superprovisionnel, puis confirmée sur mesures provisionnelles et enfin au fond) est motivée quasi-exclusivement par les dessaisissements de fortune auxquels l’intéressée a procédé en faveur de personnes sévissant à l’étranger et « prenant pour cible des personnes fragilisées et dépourvues de moyens psychologiques pour résister à leurs instances. La dépendance observée chez l’intéressée à l’égard de ses prédateurs est manifestement le résultat d’une faiblesse de caractère constitutive d’un trouble psychique qui la rend absolument incapable de résister » (pièce 2 rec.). Le TPAE a considéré d’emblée, soit au stade des mesures</w:t>
      </w:r>
    </w:p>
    <w:p>
      <w:r>
        <w:t>A/3507/2023 - 10/13 - superprovisionnelles déjà, qu’il « est démontré par pièces et par le rapport du curateur d’office des prélèvements totalement insolites, bien peu en adéquation avec les besoins de la personne concernée, laissant apparaître selon toute vraisemblance un abus de faiblesse et de confiance de la part de personnes malintentionnées. Des mesures superprovisionnelles s’imposent à l’évidence pour protéger le patrimoine de la personne concernée et gérer ses affaires, l’exercice de ses droits civils sur le plan contractuel et la gestion du patrimoine devant être limité » (pièce 1quater rec.). Très concrètement, il sied de relever qu’entre 2018 et 2020, la recourante a, au final, cédé l’essentiel de sa fortune à des personnes qu’elle n’avait jamais rencontrées et qui ont vraisemblablement profité de sa faiblesse d’esprit. Force est d’admettre que, dans la même situation et les mêmes circonstances, aucune personne raisonnable n'aurait agi de la même manière. En outre, l’évaluation de la Dre H______, même si elle a été établie a posteriori, tend à confirmer que la faiblesse d’esprit de la recourante résulte bien d’une maladie mentale présente depuis de nombreuses années. La gériatre indique en effet que, même si l’intéressée ne présente pas, au demeurant, un déficit cognitif majeur, le tableau clinique évoque une pathologie psychiatrique ancienne (ayant conduit à l’obtention de la rente AI), « par exemple un trouble de la personnalité de type schyzotypique, voire une forme de schizophrénie de type ébéphrénique ou autre qui expliquerait la désocialisation, l’isolement, la marginalisation, l’incurie personnelle et de son lieu de vie et la rupture avec la réalité avec incursion d’idées délirantes avec un aspect interprétatif. Par sa fragilité, voire sa vulnérabilité mentale, Mme A______ pourrait faire l’objet d’abus ou être sous influence, victime d’un tiers ayant de mauvaises intentions » (pièce 7 rec.). L’ensemble de ces éléments analysés à l’aune de l’expérience générale de la vie conduit à présumer l’absence de capacité de discernement de la recourante relativement aux différents dessaisissements de fortune auxquels elle a procédé, de longue date et donc vraisemblablement depuis avant 2018. L’intimé n’apporte pas d’élément permettant de renverser cette présomption, se contentant d’indiquer, en substance, d’une part que la Dre H______ n’avait fait état d’aucun déficit cognitif majeur, d’autre part que si la recourante avait été incapable de discernement, elle aurait accumulé des dettes. Or, concernant le premier argument et comme déjà rappelé, si la Dre H______ exclut effectivement un déficit cognitif majeur, elle retient une pathologie psychiatrique ancienne (type trouble de la personnalité) qui explique bon nombre de ses difficultés, dont une « rupture avec la réalité avec incursion d’idées délirantes ». Pour ce qui est du second argument, l’intimé semble omettre que la capacité de discernement est relative et doit être appréciée concrètement, par rapport à un acte déterminé, en fonction de sa nature et de son importance. Ainsi, si l’absence de</w:t>
      </w:r>
    </w:p>
    <w:p>
      <w:r>
        <w:t>A/3507/2023 - 11/13 - dettes conduit à admettre que la recourante était a fortiori en mesure de payer ses factures, cela ne permet pas d’en déduire quoi que ce soit quant à sa capacité à ne pas se faire délester de sa fortune par des individus mal intentionnés.</w:t>
      </w:r>
    </w:p>
    <w:p>
      <w:r>
        <w:rPr>
          <w:b/>
        </w:rPr>
        <w:t>E. 10.1.2</w:t>
      </w:r>
    </w:p>
    <w:p>
      <w:r>
        <w:t>La capacité de discernement de la recourante doit ainsi être niée pour les différents montants transférés à des tiers ou prélevés en faveur de tiers en 2020. Selon les pièces bancaires recueillies par Me WUARIN et produites dans le cadre de la procédure par-devant le TPAE (cf. pièces 1 à 6 rec.), le total de ces sommes s’élève à CHF 126'773.29 pour 2020, chiffre qu’il convient de déduire du montant pris en compte au titre de fortune dans le cadre de l’examen du droit à des prestations complémentaires. Pour ce qui est des dessaisissements relatifs à 2018, la recourante et son frère allèguent que la quasi-intégralité du montant reçu par l’intéressée dans le cadre de la vente d’une part de copropriété (CHF 91'917.-) a servi à éponger les dettes d’une certaine « C______ » disparue depuis lors. Leurs dires ne sont à cet égard confirmés par aucune pièce bancaire ou comptable. Cela étant, au vu des éléments ayant conduit à présumer la recourante incapable de discernement, vraisemblablement de longue date, pour ce qui est de la gestion de son patrimoine et de ses affaires (cf. 11.1.1), il y a de toute manière lieu de constater que la perte de fortune massive de 2018 (CHF 86'930.-) ne pouvait qu’être involontaire, faute pour l’intéressée d’être en mesure d’actions intentionnelles ou de négligences graves à cet égard (cf. DPC 2533.25), au vu de son état. Cette diminution de fortune ne saurait dès lors pas non plus être prise en compte en tant que dessaisissement. En conséquence, il appert que le montant de la fortune déterminante est inférieur au seuil de CHF 100'000.-, ce depuis une date antérieure à la décision sur opposition, de sorte qu’il se justifie de renvoyer le dossier à l’intimé pour qu’il procède au calcul du droit aux prestations complémentaires.</w:t>
      </w:r>
    </w:p>
    <w:p>
      <w:r>
        <w:rPr>
          <w:b/>
        </w:rPr>
        <w:t>E. 10.2</w:t>
      </w:r>
    </w:p>
    <w:p>
      <w:r>
        <w:t>Au vu de ce qui précède, il n’est pas nécessaire d’examiner le second grief soulevé par la recourante, à savoir que la diminution de son patrimoine résulterait d’une escroquerie. En outre et indépendamment de la qualification pénale (ou non) des faits, la chambre de céans ne peut à cet égard que rejoindre la recourante sur le fait qu’au vu des circonstances (versements à l’étranger au bénéfice de plusieurs personnes différentes dont les identités sont inconnues, etc.), il n’y aurait quasiment aucune chance d’aboutir à une condamnation des auteurs et encore moins à un remboursement quel qu’il soit.</w:t>
      </w:r>
    </w:p>
    <w:p>
      <w:r>
        <w:rPr>
          <w:b/>
        </w:rPr>
        <w:t>E. 11</w:t>
      </w:r>
    </w:p>
    <w:p>
      <w:r>
        <w:t>Le recours est donc admis et la cause renvoyée à l’intimé pour qu’il rende une nouvelle décision relative aux droits de la recourante à des prestations complémentaires, ce en excluant de la fortune les montants relatifs aux dessaisissements de 2018 et 2020.</w:t>
      </w:r>
    </w:p>
    <w:p>
      <w:r>
        <w:rPr>
          <w:b/>
        </w:rPr>
        <w:t>E. 12</w:t>
      </w:r>
    </w:p>
    <w:p>
      <w:r>
        <w:t>La recourante obtenant gain de cause sur le principe, une indemnité de CHF 2'000.- lui sera accordée à titre de participation à ses frais et dépens (art. 61</w:t>
      </w:r>
    </w:p>
    <w:p>
      <w:r>
        <w:t>A/3507/2023 - 12/13 - let. g LPGA ; art. 6 du règlement sur les frais, émoluments et indemnités en matière administrative du 30 juillet 1986 [RFPA - E 5 10.03]). Pour le surplus, la procédure est gratuite (art. 61 let. fbis LPGA a contrario).</w:t>
      </w:r>
    </w:p>
    <w:p>
      <w:r>
        <w:t>A/3507/2023 - 13/13 -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