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ATAS/251/2021 vom 22. März 2021</w:t>
      </w:r>
    </w:p>
    <w:p>
      <w:r>
        <w:t>GE Cour de justice, 2021-03-22, FR</w:t>
      </w:r>
    </w:p>
    <w:p>
      <w:r>
        <w:rPr>
          <w:b/>
        </w:rPr>
        <w:t xml:space="preserve">Quelle: </w:t>
      </w:r>
      <w:r>
        <w:t>https://mcp.opencaselaw.ch/entscheid/ge_gerichte_ATAS_251_2021</w:t>
      </w:r>
    </w:p>
    <w:p>
      <w:r>
        <w:t>FR: GE_GERICHTE ATAS/251/2021 du 22 mars 2021</w:t>
      </w:r>
    </w:p>
    <w:p>
      <w:r>
        <w:t>IT: GE_GERICHTE ATAS/251/2021 del 22 marzo 2021</w:t>
      </w:r>
    </w:p>
    <w:p>
      <w:pPr>
        <w:pStyle w:val="Heading2"/>
      </w:pPr>
      <w:r>
        <w:t>Erwägungen</w:t>
      </w:r>
    </w:p>
    <w:p>
      <w:r>
        <w:rPr>
          <w:b/>
        </w:rPr>
        <w:t>E. 50</w:t>
      </w:r>
    </w:p>
    <w:p>
      <w:r>
        <w:t>%, avec un rendement qui risquait d’être rapidement faible, entravé par le fonctionnement de la personnalité et le risque d’un épuisement rapide. Il était difficile d’imaginer une activité hors atelier avec accompagnement. La capacité de travail dans un milieu répondant aux exigences du marché normal du travail était nulle. Des mesures de réadaptation professionnelles pourraient être envisagées pour l’éventuelle capacité résiduelle maximale de 50 %, à la condition qu’elles puissent évaluer concrètement sur le terrain la capacité de l’assurée à intégrer une activité, malgré les multiples limitations et son rendement. On pouvait tenter une amélioration du traitement (médicamenteux et psychothérapeutique), mais sans changement sur la capacité de travail. Elle n’était pas d’accord avec le rapport du Dr M______, lequel énumérait les antécédents psychopathologiques mais ne les intégrait pas dans l’évaluation globale ; il ne prenait pas en compte les facteurs de mauvais pronostic. Il décrivait un fonctionnement proche de la normalité, en contradiction avec la description des activités quotidiennes. En ce qui concernait le trouble dépressif, l’estimation aussi bien de la symptomatologie clinique, du fonctionnement de l’assurée et du pronostic du trouble était incomplète, ne relatant pas la réalité de la situation de l’assurée. Il estimait à tort que certains éléments sortaient du domaine médical (les pensées irrationnelles, le blocage et l’enfermement, le clivage de la perception de la réalité, la difficulté à se projeter dans l’ici et le maintenant). 68. Le 18 février 2021, la Dresse T______, du SMR, a rendu un avis médical. Le SMR, en comparant l’expertise, du Dr M______ d’août 2017 avec celle de la Dresse S______ de janvier 2021, ne retrouvait pas de différences significatives en ce qui concernait l’anamnèse, les plaintes de l’assurée, et l’examen clinique, ainsi que le diagnostic de trouble dépressif récurrent, évalué d’intensité légère à moyenne en 2017, et moyenne en 2021. Le SMR était en accord avec le diagnostic de trouble dépressif récurrent, épisode actuel moyen, en suivant les critères de la CIM10. En ce qui concernait le diagnostic de modification durable de la personnalité, le SMR, ne pouvait se rallier aux conclusions de l’experte. Si l’assurée avait bien été victime d’un traumatisme intense (viol du mari), et d’un état de stress post-traumatique (retenu par le SMR en 2007), le SMR excluait le diagnostic de modification durable de la personnalité. En effet, l’assurée avait amélioré son état de santé après 2007,</w:t>
      </w:r>
    </w:p>
    <w:p>
      <w:r>
        <w:t>A/2425/2019 - 13/27 - lui permettant de reprendre une activité professionnelle même après son AVC, d’élever ses trois enfants, de continuer de vivre avec son mari, même s’ils faisaient chambre à part. Ainsi, il n’y avait pas de disfonctionnements social ou professionnel qui avaient suivi l’état de stress post-traumatique. Le sentiment de perte d’espoir était présent chez l’assurée, mais pouvait être mis en relation avec le trouble dépressif. A la lecture de l’expertise, l’assurée n’avait pas l’impression permanente d’être sur la brèche et de se sentir menacée et elle continuait de vivre avec son mari. En l’absence de réalisation des critères diagnostics, on ne pouvait reconnaitre la présence d’une modification durable de la personnalité. Il était par ailleurs rappelé que le psychiatre traitant, en 2006, retenait des traits de personnalité anxieuse, anankastique et dépendante, que l’experte ne commentait pas. Les ressources internes de l’assurée étaient évaluées comme bonnes par le SMR, même encore après l’AVC, l’assurée ayant repris son activité habituelle dès 2011, tout en gérant l’éducation de ses enfants. Les ressources externes n’étaient pas nulles, sa famille (mari et filles) étant présentes. L’isolement social retenu par l’experte n’était pas complet, l’assurée vivant en famille, ayant des contacts réguliers avec sa fratrie, et était contente de revoir sa famille dans son pays d’origine lors des vacances. Par ailleurs, hormis les contacts professionnels, l’assurée n’avait jamais décrit avoir eu antérieurement des amies. L’adaptation du traitement antidépresseur était exigible et devrait améliorer le trouble dépressif. Les activités quotidiennes de l’assurée n’étaient pas totalement limitées. L’assurée était indépendante pour son hygiène, pouvait préparer le repas de midi, faisait les lessives, parfois les courses, et pouvait aussi conduire une voiture sur des petites distances, pouvait se déplacer en transports publics, regarder la TV, prendre des nouvelles de ses filles et suivre leur scolarité. En ce qui concernait la cohérence, l’experte constatait une légère majoration des symptômes de la part de l’assuré. L’assurée n’était pas limitée dans toutes les activités quotidiennes. Elle refusait un traitement antidépresseur lege artis, alors qu’elle présentait un trouble dépressif et demandait une rente. L’évaluation des indicateurs standards ne permettait pas de retenir une incapacité de travail totale chez cette assurée. Ainsi, le SMR ne pouvait suivre les conclusions de cette expertise, en raison d’une divergence sur le diagnostic de modification durable de la personnalité, ainsi que sur l’évaluation des indicateurs et de la capacité de travail résiduelle. 69. Le 18 février 2021, l’OAI s’est rallié à l’avis du SMR précité, lequel reconnaissait un trouble dépressif moyen mais non pas sévère, de sorte que la maladie n’avait pas un degré de gravité important. On ne pouvait admettre l’échec de tout traitement conforme aux règles de l’art. Il n’y avait pas de comorbidité importante, ni trouble spécifique de la personnalité. Il n’y avait pas d’isolement social complet, l’environnement social étant globalement intact. Il n’existait pas de limitations concrètes dans les fonctions de la vie quotidienne. L’examen global de l’état de santé et de la capacité de travail de la recourante, à la lumière des exigences</w:t>
      </w:r>
    </w:p>
    <w:p>
      <w:r>
        <w:t>A/2425/2019 - 14/27 - relatives au diagnostic et des indicateurs déterminants, permettait de s’écarter des conclusions de la Dresse S______. 70. Le 15 février 2021, la recourante a conclu à l’octroi d’une rente entière d’invalidité depuis le 10 mai 2016, subsidiairement à un trois quart de rente depuis le 1er juillet 2020. Il convenait de demander à l’experte judiciaire de préciser la baisse de rendement sur le taux de 50 %. 71.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 4. Le litige porte sur le droit de la recourante à une rente d’invalidité, singulièrement sur l’évaluation de sa capacité de travail.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A/2425/2019 - 15/27 -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w:t>
      </w:r>
    </w:p>
    <w:p>
      <w:r>
        <w:t>A/2425/2019 - 16/27 -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A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w:t>
      </w:r>
    </w:p>
    <w:p>
      <w:r>
        <w:t>A/2425/2019 - 17/27 -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Etant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w:t>
      </w:r>
    </w:p>
    <w:p>
      <w:r>
        <w:t>A/2425/2019 - 18/27 -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A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 7. Selon la jurisprudence rendue jusque-là à propos des dépressions légères à moyennes, les maladies en question n'étaient considérées comme invalidantes que lorsqu'on pouvait apporter la preuve qu'elles étaient « résistantes à la thérapie »</w:t>
      </w:r>
    </w:p>
    <w:p>
      <w:r>
        <w:t>A/2425/2019 - 19/27 - (ATF 140 V 193 consid 3.3;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8.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A/2425/2019 - 20/27 -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w:t>
      </w:r>
    </w:p>
    <w:p>
      <w:r>
        <w:t>A/2425/2019 - 21/27 - f.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t>A/2425/2019 - 22/27 - 9.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a. 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 b. Dans un arrêt de principe du 2 décembre 2019 (ATF 145 V 361), le Tribunal fédéral, à la lumière de l'ATF 141 V 281, a notamment posé une délimitation, entre</w:t>
      </w:r>
    </w:p>
    <w:p>
      <w:r>
        <w:t>A/2425/2019 - 23/27 -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 psychiatriques pour lesquelles les éléments constatés sont susceptibles de restreindre la capacité fonctionnelle et les ressources psychiques en termes qualitatifs, quantitatifs et temporels (ATF 143 V 418 consid. 6). A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A défaut, il se justifie, juridiquement, de s'en écarter (ATF 145 V 361 consid. 4.3 et la référence). c.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 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w:t>
      </w:r>
    </w:p>
    <w:p>
      <w:r>
        <w:t>A/2425/2019 - 24/27 -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 12. En l’occurrence, la chambre de céans a considéré, dans son ordonnance du 4 juin 2020, qu’il convenait d’instruire médicalement le cas par le biais d’une expertise judiciaire psychiatrique. Le rapport d’expertise de la Dresse S______ du 11 janvier 2021, dans la mesure où il repose sur un entretien approfondi avec la recourante (2h30), un entretien avec le psychiatre traitant, comprend une anamnèse complète, relate les plaintes de la recourante, décrit les constatations objectives, le résultat des tests psychométriques, pose des diagnostics précis et motivés, analyse les indicateurs standards et apprécie la capacité de travail de la recourante de façon convaincante, répond aux réquisits jurisprudentiels précités pour qu’il lui soit reconnu une pleine valeur probante. 13. a. Les critiques émises par le SMR et l’intimé ne sont pas à même de mettre en cause la valeur probante de l’expertise judiciaire. b/aa. L’intimé considère tout d’abord que le trouble dépressif récurrent, épisode actuel moyen, ne remplit pas le critère du degré de gravité important de la maladie. Or, le cas d’espèce ne saurait être assimilé à celui concernant une affection qui permet de renoncer d’emblée à la procédure de preuve structurée, comme c’est le cas d’un léger trouble dépressif non chronifié et non associé à des comorbidité (arrêt précité du Tribunal fédéral 9C/4/2018 du 12 mars 2018). b/bb. Le SMR conteste ensuite la présence d’une modification durable de la personnalité car l’état de santé de la recourante s’était amélioré après 2007, celle-ci</w:t>
      </w:r>
    </w:p>
    <w:p>
      <w:r>
        <w:t>A/2425/2019 - 25/27 - ayant repris une activité professionnelle tout en élevant ses enfants et en cohabitant avec son époux, ce qui témoignait de l’absence de dysfonctionnement social ou professionnel suite à l’état de stress post-traumatique (viol conjugal) ; en outre, son sentiment de perte d’espoir pouvait être mis en relation avec le trouble dépressif et la recourante n’avait pas l’impression permanente d’être sur la brèche et de se sentir menacée. A cet égard, l’experte a relevé un changement net dans le fonctionnement social, professionnel et interpersonnel de la recourante installé depuis 2004 et persistant de manière rigide. Ce changement était survenu dans le contexte de l’exposition à un facteur traumatique qui venait s’ajouter à d’autres traumatismes préexistants, et duquel la recourante ne pouvait échapper (maintien de la vie de famille, grossesse). Elle a précisé que ce diagnostic n’était pas aisé et que celui de trouble du stress post-traumatique complexe (présent dans la future CIM-11) était plus approprié. Elle a étayé les arguments sur lesquels elle appuyait son diagnostic, soit un état de stress post traumatique non traité, une exposition continue au vécu traumatique, et une vulnérabilité développementale (expertise pp. 30 - 31). L’experte a également discuté le diagnostic différentiel du trouble mixte de la personnalité mais a estimé qu’il était moins pertinent, au vu des perturbations dans le fonctionnement de la recourante depuis 2004 qui persistaient à ce jour (expertise p. 31). En particulier, la continuation de la vie commune avec l’époux est présentée par l’intimé comme un facteur qui plaide contre un dysfonctionnement (avis du SMR du 18 février 2021 p. 3) alors que, selon l’experte, il a participé au maintien de la recourante dans une situation insupportable et emprisonnante, qui avait entretenu le traumatisme (expertise p. 31). Le diagnostic de modification durable de la personnalité, dûment motivé, ne saurait, dans ces conditions, être écarté. b/cc. Le SMR et l’intimé considèrent encore que les ressources de la recourante sont bonnes, que l’environnement social de la recourante est globalement intact et que l’isolement social n’est pas complet. Or, l’experte a souligné que les ressources de la recourante étaient faibles, sur tous les plans, soit somatique (migraines, douleurs articulaires, diarrhées, dyspepsie, vertiges), psychique et mental (pessimisme, incapacité à faire face aux changements même minimes, troubles cognitifs), social (aucun réseau en dehors des enfants et du mari avec lequel la relation est distante) et familiale (famille soutenante mais à l’étranger). Dans ces conditions, même si l’isolement social n’est pas total mais seulement partiel, les ressources de la recourante ne sauraient conduire à nier le caractère sévère de l’atteinte. b/dd. Le SMR estime aussi que le traitement médicamenteux devrait être adapté et pourrait améliorer le trouble dépressif.</w:t>
      </w:r>
    </w:p>
    <w:p>
      <w:r>
        <w:t>A/2425/2019 - 26/27 -</w:t>
      </w:r>
    </w:p>
    <w:p>
      <w:r>
        <w:t>A cet égard, l’experte a également considéré que le traitement semblait insuffisant devant la sévérité du tableau clinique mais que les adaptations de celui-ci ne modifieraient pas le pronostic, car l’interaction du trouble dépressif et du trouble de la personnalité limitait la réponse aux traitements et l’alliance thérapeutique (expertise p. 32). Or, cette constatation n’a pas été contestée par l’intimé. b/ee. Enfin, pour l’intimé et le SMR, la recourante n’était pas limitée dans toutes les activités quotidiennes, majorant légèrement les symptômes et refusant un traitement antidépresseur. A cet égard, l’experte a, au contraire, considéré que le tableau clinique était cohérent et compatible avec les antécédents personnels et les éléments présents au dossier, qu’il n’y avait pas de discordance entre les plaintes et le comportement, malgré une discrète tendance à la dramatisation, compatible avec le fonctionnement de la personnalité post-traumatique, avec une position dépressive. Le niveau d’activité de la recourante était faible, avec un mode de vie isolé, la recourante passant la majorité du temps couchée, en effectuant seulement les activités strictement nécessaires (repas, rendez-vous médicaux, courses). Elle était résignée et piégée dans sa souffrance. Par ailleurs, la recourante était investie dans les soins et ne refusait pas un traitement mais présentait une incapacité à croire qu’elle pourrait sortir de son état (expertise p. 34). c. Au demeurant, contrairement à l’avis de l’intimé, les indicateurs standard permettent de confirmer la conclusion de l’experte quant à une incapacité de travail totale de la recourante dans le marché ordinaire du travail, depuis le 3 février 2016, étant relevé que la capacité de travail de 50 % a été évoquée par l’experte seulement dans le cadre d’un atelier avec accompagnement (expertise p. 36). 14. L’intimé a retenu un statut mixte de la recourante 80 % active et 20 % ménagère. La recourante l’a contesté (procès-verbal d’audience du 13 janvier 2020). Cette question peut cependant rester ouverte dès lors qu’elle n’a pas d’incidence sur l’issue du litige. En effet, compte tenu d’une incapacité de travail totale, le degré d’invalidité dans la sphère professionnelle est de 80 %, ouvrant déjà le droit à une rente entière d’invalidité. 15. Partant, le recours sera admis, la décision litigieuse annulée et il sera dit que la recourante à droit, depuis le 1er février 2017, à une rente entière d’invalidité. Vu l’issue du litige, une indemnité de CHF 3’000.- sera accordée à la recourante - laquelle a été représentée par un avocat en cours de procédure, le 6 février 2020 - à titre de participation à ses frais et dépens (art. 61 let. g LPGA; art. 6 du règlement sur les frais, émoluments et indemnités en matière administrative du 30 juillet 1986 [RFPA - E 5 10.03]), à charge de l’intimé. Au vu du sort du recours, il y a lieu de condamner l'intimé au paiement d'un émolument de CHF 200.- (art. 69 al. 1 bis LAI).</w:t>
      </w:r>
    </w:p>
    <w:p>
      <w:r>
        <w:t>A/2425/2019 - 27/27 -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