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ATAS/251/2018 vom 15. März 2018</w:t>
      </w:r>
    </w:p>
    <w:p>
      <w:r>
        <w:t>GE Cour de justice, 2018-03-15, FR</w:t>
      </w:r>
    </w:p>
    <w:p>
      <w:r>
        <w:rPr>
          <w:b/>
        </w:rPr>
        <w:t xml:space="preserve">Quelle: </w:t>
      </w:r>
      <w:r>
        <w:t>https://mcp.opencaselaw.ch/entscheid/ge_gerichte_ATAS_251_2018</w:t>
      </w:r>
    </w:p>
    <w:p>
      <w:r>
        <w:t>FR: GE_GERICHTE ATAS/251/2018 du 15 mars 2018</w:t>
      </w:r>
    </w:p>
    <w:p>
      <w:r>
        <w:t>IT: GE_GERICHTE ATAS/251/2018 del 15 marzo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(LPA-GE - E 5 10).</w:t>
      </w:r>
    </w:p>
    <w:p>
      <w:r>
        <w:rPr>
          <w:b/>
        </w:rPr>
        <w:t>E. 3</w:t>
      </w:r>
    </w:p>
    <w:p>
      <w:r>
        <w:t>Le litige porte sur le droit du recourant, ressortissant koweitien, à une rente d’invalidité. Il n’est en revanche pas contesté que le recourant est invalide à 100% et que l’invalidité est survenue en septembre 2013, à l’échéance du délai de carence d’une année.</w:t>
      </w:r>
    </w:p>
    <w:p>
      <w:r>
        <w:t>A/2078/2017 - 4/8 -</w:t>
      </w:r>
    </w:p>
    <w:p>
      <w:r>
        <w:rPr>
          <w:b/>
        </w:rPr>
        <w:t>E. 4</w:t>
      </w:r>
    </w:p>
    <w:p>
      <w:r>
        <w:t>Aux termes de l’art. 6 al. 2 LAI - qui vaut en tant que conditions générales en principe pour toutes les prestations de l’assurance-invalidité -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(1ère phrase). Aucune prestation n'est allouée aux proches de ces étrangers s'ils sont domiciliés hors de Suisse (2ème phrase).</w:t>
      </w:r>
    </w:p>
    <w:p>
      <w:r>
        <w:rPr>
          <w:b/>
        </w:rPr>
        <w:t>E. 5</w:t>
      </w:r>
    </w:p>
    <w:p>
      <w:r>
        <w:t>Selon l’art. 36 al. 1er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w:t>
      </w:r>
    </w:p>
    <w:p>
      <w:r>
        <w:rPr>
          <w:b/>
        </w:rPr>
        <w:t>E. 6</w:t>
      </w:r>
    </w:p>
    <w:p>
      <w:r>
        <w:t>a. À teneur de l'art. 39 al. 1 LAI, le droit des ressortissants suisses aux rentes extraordinaires est déterminé par les dispositions de la LAVS. Conformément à l'art. 42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 SVR 2003 IV n° 34 p. 106 consid. 5.1.2). Il s'agit donc des années d'assurance accomplies dès le 1er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w:t>
      </w:r>
    </w:p>
    <w:p>
      <w:r>
        <w:t>A/2078/2017 - 5/8 -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b. 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w:t>
      </w:r>
    </w:p>
    <w:p>
      <w:r>
        <w:rPr>
          <w:b/>
        </w:rPr>
        <w:t>E. 7</w:t>
      </w:r>
    </w:p>
    <w:p>
      <w:r>
        <w:t>En l’absence de convention de sécurité sociale entre la Suisse et le Koweït, il convient d’examiner le droit éventuel aux prestations du recourant au regard du droit interne. a. En l’occurrence, l’intéressé, né en 1990, n’est pas un ressortissant suisse et n’a pas cotisé à l’AVS/AI, de sorte qu’il ne peut prétendre à une rente d’invalidité ordinaire selon l’art. 36 al. 1 LAI, faute d’avoir cotisé pendant trois ans au moment de la survenance de l’invalidité, en septembre 2013. Ce point n’est pas contesté. Dès lors, le droit à une rente ordinaire n’est pas ouvert.</w:t>
      </w:r>
    </w:p>
    <w:p>
      <w:r>
        <w:t>A/2078/2017 - 6/8 - b. Le droit à une rente extraordinaire fondée sur l’art. 39 al. 3 LAI n’est pas non plus ouvert, puisque le recourant est âgé de plus de vingt ans. De ce qui précède, il découle que l’intimé était fondé à lui refuser l’octroi d’une rente d’invalidité.</w:t>
      </w:r>
    </w:p>
    <w:p>
      <w:r>
        <w:rPr>
          <w:b/>
        </w:rPr>
        <w:t>E. 8</w:t>
      </w:r>
    </w:p>
    <w:p>
      <w:r>
        <w:t>Le recourant ne le conteste d’ailleurs pas véritablement mais reproche à l’intimé d’avoir omis d’attirer son attention sur l’importance de cotiser à l’AVS pour se voir ouvrir droit à des prestations lorsqu’il a déposé sa demande de prestations. a. 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Cette disposition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Tribunal fédéral a largement repris les travaux législatifs et doctrinaux relatifs à l'art. 27 LPGA et a retenu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w:t>
      </w:r>
    </w:p>
    <w:p>
      <w:r>
        <w:t>A/2078/2017 - 7/8 - Grundlagen, Begriff und Grenzen der Beratungspflicht der Sozialversicherungsträger nach Art. 27 Abs. 2 ATSG, in : Sozialversicherungsrechtstagung 2006, St-Gall 2006, p. 27 no 35). Des auteurs de doctrine ont également indiqué que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Informations et conseils à l’assuré dans les assurances sociales : le tournant de la LPGA, in La partie générale des assurances sociales, IRAL, 2003, p. 39 ss). Le Tribunal fédéral a enfin précisé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b) En l’espèce, il convient donc d’examiner si, dans la situation concrète telle qu'elle se présentait à lui, l'assureur social disposait d'indices particuliers qui lui imposaient au regard du principe de la bonne foi de renseigner personnellement l'intéressé. Tel n’est pas le cas : il ne ressort pas du dossier et il n’est pas allégué par le recourant qu’il y aurait eu échange de correspondance entre l’OAI et lui ou qu’il se serait présenté au guichet dans le but d'obtenir des informations ou de renseigner l'institution sociale au sujet de sa situation. Dans ces circonstances, l’intimé n'était pas tenu d’attirer l’attention du recourant sur l’importance de cotiser auprès d’une caisse de compensation AVS/AI, d’autant moins qu’ainsi que le relève l’intimé, même si le recourant s’était affilié facultativement dès son arrivée en Suisse, cela ne lui aurait pas permis de compter les trois ans de cotisations requis au moment de la survenance de l’invalidité, en 2013. Dans ces circonstances, même si le recourant considère avoir fait l’objet d’un défaut d’information, force est de constater qu’il n’en a résulté aucune perte de droit aux prestations.</w:t>
      </w:r>
    </w:p>
    <w:p>
      <w:r>
        <w:t>Eu égard aux considérations qui précèdent, le recours est rejeté.</w:t>
      </w:r>
    </w:p>
    <w:p>
      <w:r>
        <w:t>A/2078/2017 - 8/8 -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