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ATAS/251/2014 vom 4. März 2014</w:t>
      </w:r>
    </w:p>
    <w:p>
      <w:r>
        <w:t>GE Cour de justice, 2014-03-04, FR</w:t>
      </w:r>
    </w:p>
    <w:p>
      <w:r>
        <w:rPr>
          <w:b/>
        </w:rPr>
        <w:t xml:space="preserve">Quelle: </w:t>
      </w:r>
      <w:r>
        <w:t>https://mcp.opencaselaw.ch/entscheid/ge_gerichte_ATAS_251_2014</w:t>
      </w:r>
    </w:p>
    <w:p>
      <w:r>
        <w:t>FR: GE_GERICHTE ATAS/251/2014 du 4 mars 2014</w:t>
      </w:r>
    </w:p>
    <w:p>
      <w:r>
        <w:t>IT: GE_GERICHTE ATAS/251/2014 del 4 marzo 2014</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RSG J 4 25). Sa compétence pour juger du recours en tant qu’il porte sur le calcul des prestations complémentaires est ainsi établie.</w:t>
      </w:r>
    </w:p>
    <w:p>
      <w:r>
        <w:rPr>
          <w:b/>
        </w:rPr>
        <w:t>E. 1.22</w:t>
      </w:r>
    </w:p>
    <w:p>
      <w:r>
        <w:t>120'151 fr. 06</w:t>
      </w:r>
    </w:p>
    <w:p>
      <w:r>
        <w:t>A/3398/2012 - 16/17 - Quant au calcul du produit du bien immobilier, soit 4.5 % de la valeur vénale, il se situe dans les limites tracées par la doctrine et ne prête pas flanc à la critique. Il convient cependant de l’adapter à la valeur vénale corrigée selon les taux de conversion officiels.</w:t>
      </w:r>
    </w:p>
    <w:p>
      <w:r>
        <w:rPr>
          <w:b/>
        </w:rPr>
        <w:t>E. 2</w:t>
      </w:r>
    </w:p>
    <w:p>
      <w:r>
        <w:t>La LPGA, entrée en vigueur le 1er janvier 2003, s’applique aux prestations complémentaires fédérales à moins que la LPC n’y déroge expressément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4 20]) auprès du tribunal des assurances du canton de domicile de l’assuré (art. 58 al. 1 LPGA). b) S’agissant des prestations complémentaire cantonales, l’art. 43 LPCC ouvre les mêmes voies de droit. c) Interjeté dans les forme et délai légaux, le recours est recevable.</w:t>
      </w:r>
    </w:p>
    <w:p>
      <w:r>
        <w:rPr>
          <w:b/>
        </w:rPr>
        <w:t>E. 4</w:t>
      </w:r>
    </w:p>
    <w:p>
      <w:r>
        <w:t>Le litige porte sur le calcul des prestations complémentaires, plus particulièrement sur la valeur de l’immeuble sis au Portugal et sur l’intégration d'un gain hypothétique pour l’épouse du recourant du recourant.</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t>A/3398/2012 - 9/17 - Ont droit aux prestations complémentaires cantonales les personnes dont le revenu annuel déterminant n’atteint pas le revenu minimum cantonal d’aide sociale applicable (art. 4 LPCC).</w:t>
      </w:r>
    </w:p>
    <w:p>
      <w:r>
        <w:rPr>
          <w:b/>
        </w:rPr>
        <w:t>E. 6</w:t>
      </w:r>
    </w:p>
    <w:p>
      <w:r>
        <w:t>Au niveau fédéral, les revenus déterminants comprennent, notamment, le produit de la fortune mobilière et immobilière (art. 11 al. 1 let. b LPC), un quinzième de la fortune nette dans la mesure où elle dépasse 60’000 fr. pour les couples (art. 11 al. 1 let. c LPC dans sa teneur en force depuis le 1er janvier 2011), les rentes, pensions et autres prestations périodiques, y compris les rentes de l’AVS et de l’AI (art. 11 al. 1 let. d LPC), et les ressources et parts de fortune dont un ayant droit s’est dessaisi (art. 11 al. 1 let. g LPC). Dans sa teneur en force dès le 1er janvier 2003, l’ancienne LPC prévoyait la prise en compte de la fortune des couples dépassant un montant de 40'000 fr. (art. 3c al. 1 let. c aLPC). Sur le plan cantonal, la LPCC renvoie à la réglementation fédérale pour le calcul du revenu déterminant et des dépenses, sous réserve de certaines adaptations, sans incidence en l'espèce.</w:t>
      </w:r>
    </w:p>
    <w:p>
      <w:r>
        <w:rPr>
          <w:b/>
        </w:rPr>
        <w:t>E. 7</w:t>
      </w:r>
    </w:p>
    <w:p>
      <w:r>
        <w:t>Il y a dessaisissement lorsque le conjoint d'une personne assurée s'abstient de mettre en valeur sa capacité de gain, alors qu'il pourrait se voir obligé d'exercer une activité lucrative en vertu de l'art. 163 du code civil (CC ; RS 210) (ATF 134 V 53 consid. 4.1 et les références). Selon l’art. 14a de l'ordonnance sur les prestations complémentaires à l’assurance- vieillesse, survivants et invalidité (OPC-AVS/AI ; RS 831.301),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(al. 2).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w:t>
      </w:r>
    </w:p>
    <w:p>
      <w:r>
        <w:t>A/3398/2012 - 10/17 -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 non publié 8C_655/2007 du 26 juin 2008, consid. 5.2 et les références). Les organes d'exécution en matière de prestations complémentaires ne disposent pas des connaissances spécialisées pour évaluer l'invalidité d'une personne. C'est notamment pour ce motif qu'ils sont liés aux évaluations de l'invalidité effectuées par les organes de l'assurance-invalidité lorsqu'ils fixent le revenu exigible des assurés partiellement invalides au sens de l'art. 14a OPC-AVS/AI (ATF 117 V 202 consid. 2b). Cette jurisprudence sur la force obligatoire de l'évaluation de l'invalidité par les organes de l'assurance-invalidité ne s'applique toutefois qu'à la condition que ceux-ci aient eu à se prononcer sur le cas et que l'intéressé ait été qualifié de personne partiellement invalide par une décision entrée en force (ATF non publié 8C_68/2007 du 14 mars 2008, consid. 5.3).</w:t>
      </w:r>
    </w:p>
    <w:p>
      <w:r>
        <w:rPr>
          <w:b/>
        </w:rPr>
        <w:t>E. 8</w:t>
      </w:r>
    </w:p>
    <w:p>
      <w:r>
        <w:t>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1ère phrase OPC-AVS/AI dispose que la déduction forfaitaire prévue pour l'impôt cantonal direct dans le canton de domicile s'applique aux frais d'entretien des bâtiments. A Genève, le règlement d'application de la loi sur l'imposition des personnes physiques (RIPP ; RSG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LIPP, est la suivante : 10 %, si l’âge du bâtiment au début de la période fiscale est inférieur ou égal à 10 ans (let. a); 20 %, si l’âge du bâtiment au début de la période fiscale est supérieur à 10 ans (let. b). Lorsque le bénéficiaire n’habite pas le bien immobilier et que celui-ci n’est pas loué, un loyer conforme à l'usage local ou le revenu moyen reflétant le rendement</w:t>
      </w:r>
    </w:p>
    <w:p>
      <w:r>
        <w:t>A/3398/2012 - 11/17 - pendant la durée de vie des bâtiments situés sur le terrain doit être retenu. Selon la doctrine, ce revenu moyen peut être estimé à 5 %. Il y a à nouveau lieu de déduire de ce revenu hypothétique les frais d’entretien forfaitaires et les intérêts hypothécaires (Erwin CARIGIET/Uwe KOCH, Ergänzungsleistungen zur AHV/IV, 2ème éd. 2009, p. 172).</w:t>
      </w:r>
    </w:p>
    <w:p>
      <w:r>
        <w:rPr>
          <w:b/>
        </w:rPr>
        <w:t>E. 9</w:t>
      </w:r>
    </w:p>
    <w:p>
      <w:r>
        <w:t>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plan cantonal, l'art. 24 al. 1 1ère phrase LPCC prévoit que les prestations indûment touchées doivent être restituées. Selon la jurisprudence, cela implique que soient réunies les conditions d'une reconsidération ou d'une révision procédurale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(ATFA non publié P 39/05 du 10 juillet 2006, consid. 4.2).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En ce qui concerne plus particulièrement la révision, l'obligation de restituer des prestations complémentaires indûment touchées et son étendue dans le temps ne sont pas liées à une violation de l'obligation de renseigner. Il s'agit de l'existence d'un élément de revenu inconnu au moment de la décision, mais qui aurait dû être pris en compte parce qu'il existait déjà - du moins sous forme de créance ou de prétention, une hypothèse qui n'est pas envisagée par cette disposition (ATF 124 V 134 consid. 2e). Lorsque le versement indu résulte d'une violation de l'obligation de renseigner et que cette violation est en relation de causalité avec la perception indue de prestations d'assurance, la modification de la prestation a un effet rétroactif, qui entraîne - sous réserve des autres conditions mises à la restitution - une obligation de restituer (ATF 119 V 431 consid. 2).</w:t>
      </w:r>
    </w:p>
    <w:p>
      <w:r>
        <w:rPr>
          <w:b/>
        </w:rPr>
        <w:t>E. 10</w:t>
      </w:r>
    </w:p>
    <w:p>
      <w:r>
        <w:t>Conformément à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A/3398/2012 - 12/17 - Selon l’art. 146 al. 1 du Code pénal (CP ; RS 311.0),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La tromperie peut être réalisée non seulement par l'affirmation d'un fait faux, mais également par la dissimulation d'un fait vrai. A ce dernier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et, partant, une tromperie par commission. Une personne mise au bénéfice de prestations complémentaires après avoir sciemment fourni à l'administration des indications erronées sur sa situation patrimoniale ne confirme pas mois après mois son indigence et, partant ne répète pas à chaque fois une tromperie par commission, si elle se borne à passivement percevoir lesdites prestations sans jamais spontanément déclarer sa situation financière réelle ni être interrogée à ce propos. Son silence est en revanche constitutif d'une tromperie par commission si elle a été conduite par l'administration à s'exprimer sur sa situation financière, au moins par acte concluant ou silence qualifié (ATF non publié 9C_232/2013 du 13 décembre 2013, consid. 4.1.1 et 4.1.2).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12</w:t>
      </w:r>
    </w:p>
    <w:p>
      <w:r>
        <w:t>Si un justiciable a le droit de faire administrer des preuves essentielles en vertu de la garantie constitutionnelle du droit d'être entendu (ATF 127 V 431 consid. 3a), ce</w:t>
      </w:r>
    </w:p>
    <w:p>
      <w:r>
        <w:t>A/3398/2012 - 13/17 -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w:t>
      </w:r>
    </w:p>
    <w:p>
      <w:r>
        <w:rPr>
          <w:b/>
        </w:rPr>
        <w:t>E. 13</w:t>
      </w:r>
    </w:p>
    <w:p>
      <w:r>
        <w:t>a) En l’espèce, on relèvera en préambule que c’est à juste titre que l’intimé a procédé à la révision des prestations complémentaires pour les dix années qui précèdent, conformément au délai de prescription pénale. En effet, au vu de la jurisprudence, il ne fait pas de doute que les éléments constitutifs de l’escroquerie sont réalisés en l’espèce, dès lors que le recourant a adressé à plusieurs reprises à l’intimé des déclarations dans lesquelles il niait détenir un bien immobilier ou des comptes bancaires à l’étranger. Le recourant ne conteste d’ailleurs pas ce point. b) S’agissant de la prise en compte d’un gain hypothétique pour l’épouse du recourant, comme on l’a vu, l’intimé est lié par la détermination par l’OAI de la capacité de gain d’un ayant droit. Les montants retenus à titre de gain potentiel doivent donc être revus en fonction de la capacité de travail désormais définitivement établie pour la période litigieuse par les organes de l’OAI. Sur ce point, il faut souligner que contrairement à ce qu’allègue l’intimé dans sa réponse du 11 janvier 2013, le montant retenu à titre de gain potentiel peut également être revu dans le cas d’espèce. En effet, dans le cadre d'un calcul rétrospectif de prestations complémentaires, il faut tenir compte des faits susceptibles d'affecter, à la hausse ou à la baisse, les revenus déterminants du bénéficiaire (ATF 122 V 19 consid. 5c). La décision de l’OAI constitue par surabondance un motif de révision. Par ailleurs, conformément aux dispositions réglementaires citées, la capacité de travail retenue doit se fonder sur les constatations de l’OAI de sorte qu’il n’y a pas lieu d’entendre le médecin de l’épouse du recourant. c) En ce qui concerne la fortune immobilière, le recourant a produit deux évaluations immobilières retenant une valeur de l’ordre de 50'000 € pour son bien au Portugal. S’agissant de ces évaluations, la Cour de céans relève que le Tribunal fédéral n'a pas établi de conditions de validité formelle auxquelles doivent satisfaire les expertises sur des biens immobiliers afin de se voir reconnaître valeur probante dans les litiges en matière d'assurances sociales. Si une évaluation par une agence immobilière peut se révéler suffisante, force est en l’espèce de constater que les documents établis par l’agence le 20 février 2013 et l’huissier le 27 août 2013 sont sujets à caution. En effet, les indications qu’ils contiennent comportent des contradictions et contrastent singulièrement avec les photographies jointes à la seconde estimation. L’agent immobilier a fait état d’une maison qui n’est pas terminée et de signes de dégradation tant à l’intérieur qu’à l’extérieur. Or, toutes les parties de la maison qui</w:t>
      </w:r>
    </w:p>
    <w:p>
      <w:r>
        <w:t>A/3398/2012 - 14/17 - figurent sur les clichés à disposition de la Cour sont terminées et ne présentent aucun signe de dégradation, ni dommage. Même l’énumération des pièces par l’agent immobilier ne concorde pas avec les photographies, puisque ce rapport mentionne une seule salle de bains avec baignoire, alors que selon les photographies, la maison est dotée de deux salles d’eau, dont l’une avec douche. S’agissant de l’attestation délivrée par l’huissier, elle fait état d’une construction inachevée et de défauts tels que fissures et infiltrations. L’huissier ajoute même que la maison ne dispose pas d’équipements sanitaires. Or, on ne voit ni fissure, ni dégât d’eau sur les photographies, qui semblent pourtant avoir été prises dans l’ensemble de la maison. Si des travaux de rénovation peuvent vraisemblablement être envisagés – comme pour tout bien immobilier – on cherche en vain quelles parties de la maison ne sont pas terminées. Elle paraît en effet parfaitement habitable et elle est d’ailleurs entièrement meublée. Enfin, contrairement à ce qu’indique l’huissier, la maison dispose de plusieurs salles d’eau parfaitement équipées. La date de construction avancée par l’huissier, soit 1991, ne correspond d’ailleurs pas à celle indiquée par le recourant dans son écriture complémentaire du 12 décembre 2012, dans laquelle il annonçait avoir débuté les travaux de construction en 1989. On notera encore que les deux évaluations ne concordent pas pour ce qui a trait aux défauts répertoriés, hormis en ce qui concerne le grillage du jardin. Eu égard à ces éléments, aucune des évaluations immobilières ne suffit à mettre en doute la valeur officielle qui ressort de l’extrait du registre foncier. Le recourant fait valoir que le marché immobilier a connu une baisse de l’ordre de 25 % depuis 2009, ce qui ressort également des déclarations de l’agent immobilier. Si la baisse importante du prix du mètre carré au Portugal paraît avérée (cf. notamment http://tempsreel.nouvelobs.com/immobilier/monde/20130904.OBS5401/le- portugal-attire-les-retraites-europeens.html, qui fait état d’une baisse des prix de l’ordre de 30 % dès 2010), cela ne permet pas pour autant de l'appliquer automatiquement à la valeur déterminée en 2009 selon l’extrait du registre foncier daté de mai 2012, eu égard à ce qui suit. La Cour de céans relève d'une part que la valeur de vente convenue dans le contrat de courtage immobilier n’est guère étayée et ne justifie pas que l’on s’écarte de la valeur officielle. D'autre part, une consultation du site internet de l’agence (http://www.X__________.pt/imovel_impressao.asp?idImovel=597&amp;idLoja=Sede &amp;lingua=0, consulté le 13 février 2014 à 11h00) révèle que le bien immobilier du recourant est en vente à 130'000 €. S’il n’est pas déraisonnable d’afficher un prix de vente légèrement supérieur à la valeur du marché afin de se ménager une marge de négociation, une augmentation de 80'000 € n’entre manifestement pas dans ce cadre. D'ailleurs, l'agence en question propose à la vente des terrains nus et viabilisés d'environ 300m2 au prix de 46'000 € à 50'000 €, de sorte que le recourant ne rend pas vraisemblable qu'une maison de 183 m2 sur 3 étages, composée d'un salon-salle à manger, d'une cuisine équipée, de quatre chambres à coucher, de trois</w:t>
      </w:r>
    </w:p>
    <w:p>
      <w:r>
        <w:t>A/3398/2012 - 15/17 - salles d'eau, d'une cave et d'une buanderie, avec un garage de 50 m2 sur un terrain de 450 m2 a la même valeur. C’est donc à juste titre que l’intimé s’est référé à la valeur officielle du bien ressortant de l’extrait du registre foncier. Compte tenu des éléments qui précèdent, la mise en œuvre d’une expertise immobilière s’avère superflue. d) S’agissant du taux de conversion applicable pour le calcul de la fortune immobilière, on peut se référer aux directives concernant les prestations complémentaires à l’AVS et à l’AI (DPC) de l’OFFICE FEDERAL DES ASSURANCES SOCIALES (OFAS). Le chiffre 2087.1 des DPC dans leur teneur au 1er janvier 2007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La Commission administrative des communautés européennes pour la sécurité sociale de travailleurs migrants a fixé les taux de conversion suivants pour l’euro : 1 fr. 46 en janvier 2003 (Journal officiel de l’Union européenne 2003/C 27/02) ; 1 fr. 56 en avril 2004 (Journal officiel de l’Union européenne 2004/C 36/10) ; 1 fr. 54 en janvier 2005 et janvier 2006 (Journal officiel de l’Union européenne 2004/C 271/04 et 2005/C 277/07) ; 1 fr. 58 en janvier 2007 (Journal officiel de l’Union européenne 2007/C 19/08) ; 1 fr. 67 en janvier 2008 (Journal officiel de l’Union européenne 2007/C 265/06) ; 1 fr. 51 en janvier 2009 et janvier 2010 (Journal officiel de l’Union européenne 2008/C 282/05 et 2010/C 300/3) ; 1 fr. 34 en janvier 2011 (Journal officiel de l’Union européenne 2010/C 300/04) ; 1 fr. 22 en janvier 2012 (Journal officiel de l’Union européenne 2011/C 330/6). Ces taux aboutissent à une fortune immobilière légèrement inférieure à celle prise en compte dans les calculs de l’intimé, soit Année Valeur en euros Taux de conversion Valeur en francs 2003 98'484 € 48</w:t>
      </w:r>
    </w:p>
    <w:p>
      <w:r>
        <w:t>1.46</w:t>
      </w:r>
    </w:p>
    <w:p>
      <w:r>
        <w:t>143'787 fr. 34 2004 98'484 € 48</w:t>
      </w:r>
    </w:p>
    <w:p>
      <w:r>
        <w:t>1.56</w:t>
      </w:r>
    </w:p>
    <w:p>
      <w:r>
        <w:t>153'635 fr. 78 2005 98'484 € 48</w:t>
      </w:r>
    </w:p>
    <w:p>
      <w:r>
        <w:t>1.54</w:t>
      </w:r>
    </w:p>
    <w:p>
      <w:r>
        <w:t>151'666 fr. 09 2006 98'484 € 48</w:t>
      </w:r>
    </w:p>
    <w:p>
      <w:r>
        <w:t>1.54</w:t>
      </w:r>
    </w:p>
    <w:p>
      <w:r>
        <w:t>151'666 fr. 09 2007 98'484 € 48</w:t>
      </w:r>
    </w:p>
    <w:p>
      <w:r>
        <w:t>1.58</w:t>
      </w:r>
    </w:p>
    <w:p>
      <w:r>
        <w:t>155'605 fr. 47 2008 98'484 € 48</w:t>
      </w:r>
    </w:p>
    <w:p>
      <w:r>
        <w:t>1.67</w:t>
      </w:r>
    </w:p>
    <w:p>
      <w:r>
        <w:t>164'469 fr. 08 2009 98'484 € 48</w:t>
      </w:r>
    </w:p>
    <w:p>
      <w:r>
        <w:t>1.51</w:t>
      </w:r>
    </w:p>
    <w:p>
      <w:r>
        <w:t>148'711 fr. 56 2010 98'484 € 48</w:t>
      </w:r>
    </w:p>
    <w:p>
      <w:r>
        <w:t>1.51</w:t>
      </w:r>
    </w:p>
    <w:p>
      <w:r>
        <w:t>148'711 fr. 56 2011 98'484 € 48</w:t>
      </w:r>
    </w:p>
    <w:p>
      <w:r>
        <w:t>1.34</w:t>
      </w:r>
    </w:p>
    <w:p>
      <w:r>
        <w:t>131'969 fr. 20 2012 98'484 € 48</w:t>
      </w:r>
    </w:p>
    <w:p>
      <w:r>
        <w:rPr>
          <w:b/>
        </w:rPr>
        <w:t>E. 14</w:t>
      </w:r>
    </w:p>
    <w:p>
      <w:r>
        <w:t>Eu égard à ce qui précède, le recours est très partiellement admis dans le sens où l’intimé devra procéder à un nouveau calcul des prestations complémentaires dès le 1er janvier 2003 en tenant compte des prononcés de l’OAI, s’agissant du gain potentiel imputé à l’épouse du recourant. C’est en revanche à juste titre que l’intimé s’est fondé sur une valeur vénale du bien immobilier de 98'484 € 48, bien que la conversion de cette fortune en francs suisses doive s’opérer en fonction des taux rappelés ci-dessus. Il y aura également lieu de déduire les frais d’entretien, en collaboration avec le recourant. Le recourant, qui obtient très partiellement gain de cause, a droit à des dépens qu’il convient de fixer à 300 fr. (art. 61 let. g LPGA). Pour le surplus, la procédure est gratuite (art. 61 let. a LPGA).</w:t>
      </w:r>
    </w:p>
    <w:p>
      <w:r>
        <w:t>A/3398/2012 - 17/17 - PAR CES MOTIFS, LA CHAMBRE DES ASSURANCES SOCIALES : Statuant A la forme : 1. Déclare le recours recevable. Au fond : 2. L’admet partiellement. 3. Annule les décisions du 30 juillet et du 12 octobre 2012. 4. Renvoie la cause à l’intimé pour nouvelle décision au sens des considérants. 5. Condamne l’intimé à verser au recourant une indemnité de 300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