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ATAS/250/2018 vom 15. März 2018</w:t>
      </w:r>
    </w:p>
    <w:p>
      <w:r>
        <w:t>GE Cour de justice, 2018-03-15, FR</w:t>
      </w:r>
    </w:p>
    <w:p>
      <w:r>
        <w:rPr>
          <w:b/>
        </w:rPr>
        <w:t xml:space="preserve">Quelle: </w:t>
      </w:r>
      <w:r>
        <w:t>https://mcp.opencaselaw.ch/entscheid/ge_gerichte_ATAS_250_2018</w:t>
      </w:r>
    </w:p>
    <w:p>
      <w:r>
        <w:t>FR: GE_GERICHTE ATAS/250/2018 du 15 mars 2018</w:t>
      </w:r>
    </w:p>
    <w:p>
      <w:r>
        <w:t>IT: GE_GERICHTE ATAS/250/2018 del 15 marzo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légaux, le recours est recevable (art. 56 à 61 et 38 LPGA ; art. 9 de la loi cantonale du 14 octobre 1965 sur les prestations fédérales complémentaires à l’assurance-vieillesse et survivants et à l’assurance-invalidité [LPFC; J 4 20 ; art. 43 LPCC).</w:t>
      </w:r>
    </w:p>
    <w:p>
      <w:r>
        <w:rPr>
          <w:b/>
        </w:rPr>
        <w:t>E. 4</w:t>
      </w:r>
    </w:p>
    <w:p>
      <w:r>
        <w:t>En l’occurrence, l’intimé, par décision du 2 juin 2017, a requis de la recourante la restitution de la somme de CHF 5'787.-. Cette décision n’ayant fait l’objet d’aucune opposition, seule peut désormais être examinée par la Cour de céans la question du bien-fondé du rejet de la demande de remise de l’obligation de restituer la somme en question. La Cour relèvera cependant qu’au vu des pièces du dossier produites par l’intimé, celui-ci n’a jamais statué sur l’opposition formulée par la bénéficiaire le 11 avril 2014, suite à la réduction du loyer pris en considération à compter du 1er avril 2014.</w:t>
      </w:r>
    </w:p>
    <w:p>
      <w:r>
        <w:t>A/4570/2017 - 5/8 - À cet égard, on s’étonnera également que les premières explications fournies par l’intimé ne l’aient été que dans sa décision de refus de remise du 22 août 2017. Ce n’est en effet qu’à cette occasion que l’intimé a, pour la première fois, expliqué clairement à sa bénéficiaire les raisons des réductions opérées dans la prise en compte de son loyer depuis 2014. À défaut d’explications antérieures, il est légitime de se demander si l’intéressée avait tous les éléments en mains pour contester les dites réductions et si son droit d’être entendue a donc bien été respecté. La Cour invite par conséquent l’intimé à statuer à bref délai sur l’opposition formée le 11 avril 2014 contre la décision du 13 mars 2014, d’une part, mais également à réexaminer le dossier - en particulier la question de la supposée cohabitation entre la bénéficiaire et son fils entre fin 2013 et juin 2016 - à l’aune des explications fournies par l’intéressée dans son courrier du 16 novembre 2017, complété par les allégations faites lors de l’audition par la Cour de céans, d’autre part. Le litige porte ainsi exclusivement sur les conditions de la remise de l’obligation de restituer la somme de CHF 5'787.-, en particulier sur le point de savoir si la recourante remplit la condition de la bonne foi.</w:t>
      </w:r>
    </w:p>
    <w:p>
      <w:r>
        <w:rPr>
          <w:b/>
        </w:rPr>
        <w:t>E. 5</w:t>
      </w:r>
    </w:p>
    <w:p>
      <w:r>
        <w:t>a) À teneur de l'art. 25 al. 1 1ère phrase LPGA, les prestations indûment touchées doivent être en principe restituées. L'assuré concerné peut toutefois demander la remise de l'obligation de restituer, à certaines conditions. Ces deux conditions figurent également aux art. 4 al. 1 OPGA, 15 al. 1 RPCC-AVS/AI, 24 al. 1 LPCC et 5C al. 1 LPFC. La remise et son étendue ne pouvant être traitées que si la décision de restitution est entrée en force, elles font l'objet d'une procédure distincte (art. 4 al. 2 de l’ordonnance du 11 septembre 2002 sur la partie générale du droit des assurances sociales (OPGA) ; art 5C al. 2 LPFC et art. 15 du règlement relatif aux prestations cantonales complémentaires à l'assurance-vieillesse et survivants et à l'assurance- invalidité [RPCC-AVS/AI – RSG J 4 25.03] ; ATF non publié C 264/05 du 25 janvier 2006, consid. 2.1 ; ATF non publié P 63/06 du 14 mars 2007, consid.3 ; ATF non publié 9C_211/2009 du 26 février 2010, consid. 3.1).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 ATF 112 V 97103 consid. 2c ;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w:t>
      </w:r>
    </w:p>
    <w:p>
      <w:r>
        <w:t>A/4570/2017 - 6/8 - (ATF 110 V 181 consid. 3d ; cf. aussi arrêt du Tribunal fédéral 9C_41/2011 du 16 août 2011 consid. 5.2). Il faut ainsi en particulier examiner si, en faisant preuve de la vigilance exigible, il aurait pu constater que les versements ne reposaient pas sur une base juridique. Le devoir d’informer l’administration s’étend à tous les faits qui ont une importance pour le droit aux prestations.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A/4570/2017 - 7/8 -</w:t>
      </w:r>
    </w:p>
    <w:p>
      <w:r>
        <w:rPr>
          <w:b/>
        </w:rPr>
        <w:t>E. 7</w:t>
      </w:r>
    </w:p>
    <w:p>
      <w:r>
        <w:t>En l'espèce, il est établi que la recourante n’a pas avisé l’intimé du fait qu’elle partageait son logement depuis septembre 2013 avec sa sœur et que celle-ci contribuait au paiement du loyer. Dès lors, en n’avisant pas l’intimé de ce qu’il fallait considérer comme un changement sensible de sa situation personnelle et matérielle, la recourante ne saurait se voir reconnaître de bonne foi concernant les prestations versées à tort vu le partage du logement avec sa sœur. Cette première condition cumulative n’étant pas remplie, il n'est pas nécessaire d'examiner la seconde, relative à la situation financière de la recourante. En revanche, la bonne foi de la recourante s’agissant des prestations versées à tort compte tenu de la supposée cohabitation - contestée - avec son fils, à compter de septembre 2013 apparaît sujette à question. Certes, la décision en restitution est entrée en force. Malgré cela, il apparaît que si les allégations de la recourante selon lesquelles son fils n’aurait en réalité séjourné chez elle qu’un mois en 2013, s’avèrent conformes à la réalité, on ne saurait lui reprocher de n’avoir pas annoncé sa présence. À cet égard, la Cour relève qu’une instruction complémentaire s’avère nécessaire, en interrogeant par exemple le fils de la recourante (à sa nouvelle adresse, au Grand-Saconnex, selon le registre de l’OCPM), d’une part, la sœur de la recourante, d’autre part. En effet, il est admis que cette dernière cohabite avec sa sœur depuis septembre 2013, c'est-à-dire depuis le moment où le fils de la recourante aurait lui- même séjourné chez sa mère. La sœur de la recourante sera donc à même de confirmer ou d’infirmer les dires de celle-ci. La recourante pourra également être invitée à produire tous les courriers qu’elle dit avoir reçus pour son fils et qu’elle allègue avoir conservés, ne sachant où les lui faire suivre. Au vu de ce qui précède, il apparaît que la cause n’est pas, en l’état, suffisamment instruite. Dès lors, la cause est renvoyée à l’intimé, à charge pour ce dernier de vérifier la vraisemblance de la présence du fils de la recourante chez celle-ci durant la période considérée et de rendre de nouvelles décisions en conséquence. En particulier, il convient de faire la distinction entre les prestations réclamées du fait de la cohabitation de la recourante avec sa sœur - non contestée et non annoncée, pour laquelle les conditions d’une remise ne sont pas remplies - et celles réclamées en raison de la supposée cohabitation de la recourante avec son fils. Pour le surplus, la procédure est gratuite (art. 61 let. a LPGA et 89H al. 1 LPA).</w:t>
      </w:r>
    </w:p>
    <w:p>
      <w:r>
        <w:t>A/4570/2017 - 8/8 -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