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ATAS/24/2018 vom 16. Januar 2018</w:t>
      </w:r>
    </w:p>
    <w:p>
      <w:r>
        <w:t>GE Cour de justice, 2018-01-16, FR</w:t>
      </w:r>
    </w:p>
    <w:p>
      <w:r>
        <w:rPr>
          <w:b/>
        </w:rPr>
        <w:t xml:space="preserve">Quelle: </w:t>
      </w:r>
      <w:r>
        <w:t>https://mcp.opencaselaw.ch/entscheid/ge_gerichte_ATAS_24_2018</w:t>
      </w:r>
    </w:p>
    <w:p>
      <w:r>
        <w:t>FR: GE_GERICHTE ATAS/24/2018 du 16 janvier 2018</w:t>
      </w:r>
    </w:p>
    <w:p>
      <w:r>
        <w:t>IT: GE_GERICHTE ATAS/24/2018 del 16 gennaio 2018</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relative à une prestation prévue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1er juillet 2016 contre une décision sur opposition du 7 juin 2016, le recours a été interjeté en temps utile (art. 60 LPGA). Il satisfait aux exigences de forme et de contenu prévues par l’art. 61 let. b LPGA (cf. aussi art. 89B LPA). Touchée par ladite décision, et ayant un intérêt digne de protection à son annulation ou à sa modification, la recourante a qualité pour recourir (art. 59 LPGA). c. Son recours sera donc déclaré recevable.</w:t>
      </w:r>
    </w:p>
    <w:p>
      <w:r>
        <w:rPr>
          <w:b/>
        </w:rPr>
        <w:t>E. 2</w:t>
      </w:r>
    </w:p>
    <w:p>
      <w:r>
        <w:t>Le litige porte sur la question de savoir si les atteintes que la recourante a subies à son épaule droite doivent être prises en charge par l’intimée au-delà du 30 juin 2015.</w:t>
      </w:r>
    </w:p>
    <w:p>
      <w:r>
        <w:t>A/2255/2016 - 12/24 -</w:t>
      </w:r>
    </w:p>
    <w:p>
      <w:r>
        <w:rPr>
          <w:b/>
        </w:rPr>
        <w:t>E. 3</w:t>
      </w:r>
    </w:p>
    <w:p>
      <w:r>
        <w:t>Plusieurs modifications apportées à la LAA et à l'ordonnance sur l'assurance-accidents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w:t>
      </w:r>
    </w:p>
    <w:p>
      <w:r>
        <w:rPr>
          <w:b/>
        </w:rPr>
        <w:t>E. 4</w:t>
      </w:r>
    </w:p>
    <w:p>
      <w:r>
        <w:t>a.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L’art. 6 al. 2 aLAA a conféré au Conseil fédéral la compétence d’étendre la prise en charge par l’assurance-accidents à des lésions assimilables à un accident. Aux termes de l'art. 9 al. 2 de l'ordonnance sur l'assurance-accidents (aOLAA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w:t>
      </w:r>
    </w:p>
    <w:p>
      <w:r>
        <w:t>A/2255/2016 - 13/24 - fédéral 8C_118/2011 du 9 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aOLAA - les troubles constatés ne sont pas à la charge de l'assurance-accidents (ATF 129 V 466 consid. 4.2).</w:t>
      </w:r>
    </w:p>
    <w:p>
      <w:r>
        <w:rPr>
          <w:b/>
        </w:rPr>
        <w:t>E. 5</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w:t>
      </w:r>
    </w:p>
    <w:p>
      <w:r>
        <w:t>A/2255/2016 - 14/24 - consid. 2b/bb ; RAMA 1999 n° U 341 p. 408, consid. 3b). Il convient en principe d'en rechercher l'étiologie et de vérifier, sur cette base, l'existence du rapport de causalité avec l'événement assuré.</w:t>
      </w:r>
    </w:p>
    <w:p>
      <w:r>
        <w:rPr>
          <w:b/>
        </w:rPr>
        <w:t>E. 6</w:t>
      </w:r>
    </w:p>
    <w:p>
      <w:r>
        <w:t>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(arrêts du Tribunal fédéral 8C_1003/2010 du 22 novembre 2011 consid. 1.2 ; 8C_552/2007 du 19 février 2008 consid. 2 ; FRÉSARD/MOSER-SZELESS, L’assurance-accidents obligatoire in Schweizerisches Bundesverwaltungsrecht [SBVR], vol. XIV, Sécurité sociale, 3ème éd. 2016 p. 1016 n. 385). Lorsque le status quo sine vel ante est atteint, la causalité partielle cesse pour l’état maladif qui subsiste (arrêt du Tribunal fédéral 8C_476/2011 du 5 décembre 2011 consid. 6.1 et les références). b. L’art. 36 LAA se rapporte à tous les éléments maladifs antérieurs, qu’ils soient d’ordre somatique ou psychique (RAMA 1988 n° U 47 p. 228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(ATF 116 V 152 consid. 4d ; arrêt du</w:t>
      </w:r>
    </w:p>
    <w:p>
      <w:r>
        <w:t>A/2255/2016 - 15/24 - Tribunal fédéral des assurances U 135/96 du 20 août 1997 consid. 2b).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8</w:t>
      </w:r>
    </w:p>
    <w:p>
      <w:r>
        <w:t>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45 consid. 2). Toutefois, dans le contexte de la suppression du droit à des prestations,</w:t>
      </w:r>
    </w:p>
    <w:p>
      <w:r>
        <w:t>A/2255/2016 - 16/24 -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 b. On précisera qu'en ce qui concerne l'art. 9 al. 2 aOLAA,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À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w:t>
      </w:r>
    </w:p>
    <w:p>
      <w:r>
        <w:t>A/2255/2016 - 17/24 -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b. Sans remettre en cause le principe de la libre appréciation des preuves, le Tribunal fédéral des assurances a posé des lignes directrices en ce qui concerne la manière d'apprécier certains types d'expertises ou de rapports médicaux (ATF 125 V 351 consid. 3b).</w:t>
      </w:r>
    </w:p>
    <w:p>
      <w:r>
        <w:t>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w:t>
      </w:r>
    </w:p>
    <w:p>
      <w:r>
        <w:t>b/bb. Une appréciation médicale, respectivement une expertise médicale établie sur la base d'un dossier n’est pas en soi sans valeur probante. Une expertise médicale établie sur la base d'un dossier peut avoir valeur probante pour autant que celui-ci</w:t>
      </w:r>
    </w:p>
    <w:p>
      <w:r>
        <w:t>A/2255/2016 - 18/24 -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w:t>
      </w:r>
    </w:p>
    <w:p>
      <w:r>
        <w:t>En l’espèce, il est constant qu’à la suite d’une chute consécutive à une glissade survenue dans sa baignoire le 15 décembre 2012, la recourante a subi une atteinte à son épaule droite ayant nécessité, le 15 janvier 2014, une réinsertion arthroscopique de la coiffe des rotateurs droite dont la prise en charge a été assumée par l’intimée. Il n’est pas non plus contesté – et n’apparaît pas contestable – qu’en chutant sur son épaule droite après avoir raté une marche le 25 juin 2014, la recourante a été victime d’un événement répondant, lui aussi, aux critères d’un accident à environ dix-huit mois d’intervalle. Les parties s’opposent en revanche sur la prise en charge de soins au-delà du 30 juin 2015. Se rangeant à l’avis de son médecin-conseil, le Dr D______, l’intimée considère en substance dans la décision entreprise que si des douleurs nécessitant des soins persistent à l’épaule droite au-delà de cette date, c’est en raison des lésions dégénératives des tendons. Renvoyant à l’avis du Dr D______ du 25 mai 2016, la décision litigieuse retient que « le statu quo est atteint au plus tard à une année post accident » sur une épaule ne présentant pas de</w:t>
      </w:r>
    </w:p>
    <w:p>
      <w:r>
        <w:t>A/2255/2016 - 19/24 - lésions dégénératives (cf. p. 4 point 31). Or, force est de constater que le rapport du 25 mai 2016 du Dr D______ n’indique pas cela. Ce médecin-conseil y affirme au contraire : « je maintiens mon statu quo sine à une année après la réparation de la coiffe ». Mais à l’examen du rapport du 25 mai 2016, ce « maintien » – qui, en réalité, comporte la fixation d’un statu quo différent de celui retenu par ce même médecin dans son rapport du 30 septembre 2015 – revient à faire abstraction de l’accident du 25 juin 2014 et à fixer le statu quo sine au 15 janvier 2015 en fonction de l’intervention chirurgicale ayant eu lieu le 15 janvier 2014. Pour fixer le statu quo sine au 30 juin 2015, l’intimée s’est en réalité fondée sur le précédent rapport du Dr D______, daté du 30 septembre 2015, dans lequel ce médecin était invité à faire part de son analyse au sujet de l’événement du 25 juin 2014, plus précisément à dire si cet accident était la cause certaine, vraisemblable ou possible de l’atteinte à la santé actuelle (cf. question 2). Le Dr D______ n’a cependant pas véritablement répondu à la question qui lui était posée mais a répété ce qu’il avait déjà indiqué dans son rapport du 8 juillet 2014, à savoir que le premier accident était la cause vraisemblable pour la lésion du sus-épineux, possible pour les autres lésions, exclue pour l’arthrose acromio-claviculaire. S’agissant de l’accident du 25 juin 2014, le Dr D______ s’est contenté de répondre : « la nouvelle chute n’a pas provoqué de lésion mais la patiente reste algique », tout en attribuant la persistance des douleurs après le 25 juin 2014 à des phénomènes dégénératifs en ces termes : « on doit admettre que s’il n’y avait eu que la lésion du sus-épineux [suite à l’accident du</w:t>
      </w:r>
    </w:p>
    <w:p>
      <w:r>
        <w:rPr>
          <w:b/>
        </w:rPr>
        <w:t>E. 15</w:t>
      </w:r>
    </w:p>
    <w:p>
      <w:r>
        <w:t>Toute remarque utile et proposition de l’expert.</w:t>
      </w:r>
    </w:p>
    <w:p>
      <w:r>
        <w:t>4. Invite l’expert à déposer à sa meilleure convenance un rapport en quatre exemplaires à la chambre de céans ; 5. Réserve le sort des frais ; 6. Réserve le fond.</w:t>
      </w:r>
    </w:p>
    <w:p>
      <w:r>
        <w:t>La greffière</w:t>
      </w:r>
    </w:p>
    <w:p>
      <w:r>
        <w:t>Marie NIERMARECHAL</w:t>
      </w:r>
    </w:p>
    <w:p>
      <w:r>
        <w:t>Le président</w:t>
      </w:r>
    </w:p>
    <w:p>
      <w:r>
        <w:t>Raphaël MARTIN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