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ATAS/249/2026 vom 24. März 2026</w:t>
      </w:r>
    </w:p>
    <w:p>
      <w:r>
        <w:t>GE Cour de justice, 2026-03-24, FR</w:t>
      </w:r>
    </w:p>
    <w:p>
      <w:r>
        <w:rPr>
          <w:b/>
        </w:rPr>
        <w:t xml:space="preserve">Quelle: </w:t>
      </w:r>
      <w:r>
        <w:t>https://mcp.opencaselaw.ch/entscheid/ge_gerichte_ATAS_249_2026</w:t>
      </w:r>
    </w:p>
    <w:p>
      <w:r>
        <w:t>FR: GE_GERICHTE ATAS/249/2026 du 24 mars 2026</w:t>
      </w:r>
    </w:p>
    <w:p>
      <w:r>
        <w:t>IT: GE_GERICHTE ATAS/249/2026 del 24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loi sur la procédure administrative du 12 septembre 1985 [LPA - E 5 10]). Interjeté dans la forme et le délai prévus par la loi, le recours est recevable. 2.</w:t>
      </w:r>
    </w:p>
    <w:p>
      <w:r>
        <w:t>2.1 Dans le cadre du développement continu de l’AI, la LAI, le RAI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(ATF 144 V 210 consid. 4.3.1), il convient</w:t>
      </w:r>
    </w:p>
    <w:p>
      <w:r>
        <w:t>A/2762/2025 - 8/20 -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2.2 En l’occurrence, est contestée la diminution temporaire de la rente de la recourante à la suite de la révision initiée en 2023, de sorte que les dispositions applicables seront citées dans leur nouvelle teneur. 3. Le litige porte sur le bien-fondé de la décision du 16 juin 2025, par laquelle l’intimé a réduit la rente entière accordée à la recourante depuis le 1er mai 2020, à 61% d’une rente entière pour la période limitée du 1er septembre 2023 au 30 juin 2024, étant rappelé que l’intimé a modifié ses conclusions et considère désormais que la réduction de la rente doit intervenir du 1er novembre 2023 au 30 septembre 2024. 4. En vertu de l’art. 17 al. 1 LPGA, la rente d'invalidité est, d'office ou sur demande, révisée pour l'avenir, à savoir augmentée, réduite ou supprimée, lorsque le taux d'invalidité de l'assuré subit une modification d'au moins 5 points de pourcentage ou atteint 100%. 4.1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4.2 Un motif de révision a été retenu notamment lors d’un changement de poste de travail (arrêt du Tribunal fédéral 9C_33/2016 du 16 août 2016 consid. 8.1). En</w:t>
      </w:r>
    </w:p>
    <w:p>
      <w:r>
        <w:t>A/2762/2025 - 9/20 -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5. Conformément aux art. 8 al. 1 LPGA et 4 al. 1 LAI, est réputée invalidité, l'incapacité de gain totale ou partielle présumée permanente ou de longue durée, résultant d'une infirmité congénitale, d'une maladie ou d'un accident. L’art. 6 LPGA prévoit qu’est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w:t>
      </w:r>
    </w:p>
    <w:p>
      <w:r>
        <w:rPr>
          <w:b/>
        </w:rPr>
        <w:t>E. 6</w:t>
      </w:r>
    </w:p>
    <w:p>
      <w:r>
        <w:t>octobre 2000 (LPGA - RS 830.1) relatives à la loi fédérale sur l’assurance-invalidité du 19 juin 1959 (LAI - RS 831.20). Sa compétence pour juger du cas d’espèce est ainsi établie.</w:t>
      </w:r>
    </w:p>
    <w:p>
      <w:r>
        <w:rPr>
          <w:b/>
        </w:rPr>
        <w:t>E. 9</w:t>
      </w:r>
    </w:p>
    <w:p>
      <w:r>
        <w:t>Au vu de ce qui précède, le recours sera admis et la décision du 16 juin 2025 annulée, l’intimé n’étant pas fondé à diminuer la rente de l’intéressée avec effet rétroactif. Au vu du sort du recours, il y a lieu de condamner l'intimé au paiement d'un émolument de CHF 200.- (art. 69 al. 1bis LAI).</w:t>
      </w:r>
    </w:p>
    <w:p>
      <w:r>
        <w:t>A/2762/2025 - 20/20 -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