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ATAS/249/2020 vom 17. März 2020</w:t>
      </w:r>
    </w:p>
    <w:p>
      <w:r>
        <w:t>GE Cour de justice, 2020-03-17, FR</w:t>
      </w:r>
    </w:p>
    <w:p>
      <w:r>
        <w:rPr>
          <w:b/>
        </w:rPr>
        <w:t xml:space="preserve">Quelle: </w:t>
      </w:r>
      <w:r>
        <w:t>https://mcp.opencaselaw.ch/entscheid/ge_gerichte_ATAS_249_2020</w:t>
      </w:r>
    </w:p>
    <w:p>
      <w:r>
        <w:t>FR: GE_GERICHTE ATAS/249/2020 du 17 mars 2020</w:t>
      </w:r>
    </w:p>
    <w:p>
      <w:r>
        <w:t>IT: GE_GERICHTE ATAS/249/2020 del 17 marzo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Selon l’art. 9 al. 1 de la loi sur la procédure administrative du 12 septembre 1985 [LPA- RS/GE -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Dans le cadre d’un litige portant sur l’existence ou non d’une atteinte à la santé à caractère invalidant, la jurisprudence constante de la chambre céans admet le médecin traitant comme mandataire professionnellement qualifié au sens de l’art. 9 al. 1 LPA (cf. ATAS/159/2015 ; ATAS/594/2014; ATAS/758/2011). Sur demande, le représentant doit justifier ses pouvoirs par une procuration écrite (art. 9 al. 2 LPA). b. En l’occurrence, les parents de la recourante ont informé la chambre de céans qu’ils n’avaient pas octroyé de procuration en faveur du Dr E______. Faute de procuration l’autorisant à représenter l’assurée, ce dernier ne peut se voir reconnaître la qualité de représentant, de sorte que le présent arrêt ne lui sera pas notifié. En revanche, dans la mesure où les parents de l’assurée agissent en tant que représentants légaux, ils sont légitimés à recourir contre la décision entreprise.</w:t>
      </w:r>
    </w:p>
    <w:p>
      <w:r>
        <w:rPr>
          <w:b/>
        </w:rPr>
        <w:t>E. 3</w:t>
      </w:r>
    </w:p>
    <w:p>
      <w:r>
        <w:t>Interjeté dans le délai et la forme prévus par la loi, le recours est recevable (art. 56 et 60 LPGA ; art. 89B LPA).</w:t>
      </w:r>
    </w:p>
    <w:p>
      <w:r>
        <w:rPr>
          <w:b/>
        </w:rPr>
        <w:t>E. 4</w:t>
      </w:r>
    </w:p>
    <w:p>
      <w:r>
        <w:t>Le litige consiste à examiner si la recourante a droit à des mesures médicales, singulièrement si elle souffre d’une infirmité congénitale. a. Aux termes de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Les mesures médicales accordées conformément à l’art. 13 LAI doivent tendre, en principe, à soigner l’infirmité congénitale elle-même. La liste des infirmités congénitales annexée à l’ordonnance du 9 décembre 1985 concernant les infirmités congénitales (OIC ; RS 831.232.21) repose sur une délégation du législateur au Conseil fédéral (art. 13 al. 2 LAI). La jurisprudence a reconnu que le Conseil fédéral et - dans l’hypothèse de l’art. 1 al. 2 OIC - le Département fédéral de l’intérieur disposait d’un large pouvoir d’appréciation pour déterminer, parmi les infirmités congénitales au sens médical, celles pour lesquelles</w:t>
      </w:r>
    </w:p>
    <w:p>
      <w:r>
        <w:t>A/2819/2019 - 6/11 - les prestations de l’art. 13 LAI doivent être accordées (infirmités congénitales au sens de la LAI ; arrêt du Tribunal fédéral I 544/97 du 14 janvier 1999 consid. 2b et les références, in VSI 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p. 30 ; voir également arrêts du Tribunal fédéral 9C_817/2009 du 14 avril 2010 consid. 3.2 ; I 64/01 du 20 février 2002 consid. 4a). Par ailleurs, dans la mesure où le Département fédéral de l’intérieur peut corriger la liste à bref délai en y ajoutant des infirmités congénitales évidentes (art. 1 al. 2 2ème phr. OIC), le système mis en place permet de tenir raisonnablement compte des progrès de la science médicale (arrêt du Tribunal fédéral des assurances I 64/01 du 20 février 2002 consid. 4a/bb). La liste des infirmités congénitales annexées à l’OIC inclut à son chiffre 274 le cas de l’atrésie et de la sténose congénitales de l’estomac, de l’intestin, du rectum ou de l’anus. b. Le droit prend naissance au début de l’application des mesures médicales, mais au plus tôt à la naissance accomplie de l’enfant (art. 2 al. 1 OIC). Sont réputés mesures médicales nécessaires au traitement d’une infirmité congénitale tous les actes dont la science médicale a reconnu qu’ils sont indiqués et qu’ils tendent au but thérapeutique visé d’une manière simple et adéquate (art. 2 al. 3 OIC). Le droit au traitement d’une infirmité congénitale s’éteint à la fin du mois au cours duquel l’assuré a accompli sa 20ème année, même si une mesure entreprise avant ce délai est poursuivie (art. 3 OIC). Selon la circulaire sur les mesures médicales, publiée par l’office fédéral des assurances sociales (ci-après : CMRM, valable depuis le 1er janvier 2015),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w:t>
      </w:r>
    </w:p>
    <w:p>
      <w:r>
        <w:rPr>
          <w:b/>
        </w:rPr>
        <w:t>E. 5</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A/2819/2019 - 7/11 -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6</w:t>
      </w:r>
    </w:p>
    <w:p>
      <w:r>
        <w:t>Le juge des assurances sociales fonde sa décision, sauf dispositions contraires de la loi, sur les faits qui, faute d’être établis de manière irréfutable, apparaissent comme</w:t>
      </w:r>
    </w:p>
    <w:p>
      <w:r>
        <w:t>A/2819/2019 - 8/11 -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l’occurrence, il n’est pas contesté que la recourante présente, depuis sa naissance, une malformation anectorale, soit un anus antéposé avec un périnéal groove à une distance d’à peu près 7 à 8 mm de l’extrémité postérieure de la fourchette vulvaire. Les parties s’opposent en revanche sur la question de savoir si cette atteinte constitue une infirmité congénitale au sens de l’OIC. Devant la chambre de céans, les parents de la recourante soutiennent que la malformation anectorale de leur fille est couverte par le chiffre 274 OIC, lequel inclut le cas de l’atrésie et de la sténose congénitales de l’estomac, de l’intestin, du rectum ou de l’anus. Selon la nomenclature médicale (GANIER / DELAMARE, Dictionnaire des termes de médecine, 26ème éd., Paris 2000), une atrésie se définit comme une occlusion complète ou incomplète, congénitale ou acquise d’un orifice ou d’un conduit naturels (cf. Larousse médical, 1995), alors qu’une sténose correspond à la diminution permanente du calibre d’un orifice ou d’un conduit du corps, avec altération de la paroi (GANIER / DELAMARE, Dictionnaire des termes de médecine, 26ème éd., Paris 2000 ; cf. aussi Larousse médical, 1995). Dans son rapport médical AI du 18 février 2019, le Dr E______ a posé le diagnostic de « malformation anorectale, selon l’OIC, chiffre 274 ». Il n’a cependant pas précisé si la malformation présentée par la recourante constituait un cas d’atrésie ou de sténose au sens de ce chiffre. D’après sa description du diagnostic, la malformation présentée par l’intéressée porte sur une distance – jugée trop courte – entre l’anus et l’extrémité postérieure de la fourchette vulvaire. Cette condition peut, selon le chirurgien traitant de l’assurée, entraîner des problèmes de constipation, voire des complications en cas de grossesse ou d’accouchement. Il n’est cependant pas question d’occlusion – complète ou incomplète –, ni même de diminution, d’un orifice ou d’un conduit du corps, au sens des définitions précitées. En cela, il convient de suivre l’appréciation du 6 mai 2019 de la Dresse G______, médecin SMR spécialiste en pédiatrie. Entendu en audience, le Dr E______ a certes indiqué qu’il avait pu constater un cas d’atrésie chez sa patiente. Il a toutefois immédiatement précisé qu’il s’agissait, chez sa patiente, d’une « ouverture mal placée ». Or, ainsi que l’a relevé l’intimé, l’atrésie se définit comme une occlusion, complète ou non, d’un orifice, et cela indépendamment de son emplacement. Si la distance - trop courte - entre l’anus et la fourchette vulvaire représente certes une malformation anorectale, ce qui n’est pas contesté, elle n’en constitue pas pour autant un cas d’atrésie. Cette condition ne remplit pas non plus la définition d’une</w:t>
      </w:r>
    </w:p>
    <w:p>
      <w:r>
        <w:t>A/2819/2019 - 9/11 - sténose, soit la diminution d’un orifice, ce qui est du reste admis par le médecin traitant (cf. procès-verbal d’enquêtes du 6 mars 2020). Le Dr E______ a du reste expliqué en audience que les malformations anorectales à la naissance touchaient un patient sur 5'000 et qu’elles étaient très variables. Or, en édictant le ch. 274 OIC, le Conseil fédéral a entendu limiter les infirmités congénitales au sens de la LAI, en ne traitant pas de la même manière toutes les malformations anorectales présentes à la naissance. Seuls les cas d’atrésie et de sténose congénitales de l’anus entrent parmi les infirmités congénitales pour lesquelles les prestations de l’art. 13 LAI doivent être accordées. Or, comme mentionné, la liste des infirmités congénitales au sens de la LAI est exhaustive et ne saurait être étendue par le juge, serait-ce à l’aide d’un raisonnement par analogie. Quoi qu’en disent les parents de la recourante et son chirurgien traitant, le fait que la malformation anorectale soit existante dès la naissance de l’enfant, conformément à la définition de l’art. 13 LAI, ne suffit pas pour que les conditions légales d’une prise en charge par l’OAI soient réunies. C’est donc à juste titre que l’intimé a nié le droit de la recourante à des mesures médicales au titre de l’art. 13 LAI.</w:t>
      </w:r>
    </w:p>
    <w:p>
      <w:r>
        <w:rPr>
          <w:b/>
        </w:rPr>
        <w:t>E. 8</w:t>
      </w:r>
    </w:p>
    <w:p>
      <w:r>
        <w:t>Reste à voir si, à défaut de mettre la recourante au bénéfice de l’art. 13 LAI, l’intimé était tenu de lui allouer les mesures médicales demandées en vertu de l’art. 12 LAI.</w:t>
      </w:r>
    </w:p>
    <w:p>
      <w:r>
        <w:rPr>
          <w:b/>
        </w:rPr>
        <w:t>E. 9</w:t>
      </w:r>
    </w:p>
    <w:p>
      <w:r>
        <w:t>a. Lorsque des mesures médicales ne peuvent être octroyées à un assuré mineur sous l’angle de l’art. 13 LAI, il y a lieu d’examiner si elles peuvent l’être sur la base de l’art. 12 LAI (cf. arrêt du Tribunal fédéral des assurances I 309/05 du 1er décembre 2005 consid. 2.3.1). Conformément à cette disposition,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w:t>
      </w:r>
    </w:p>
    <w:p>
      <w:r>
        <w:t>A/2819/2019 - 10/11 - b. 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faible de l’affection – lorsque, à défaut de ces mesures, il n’y aurait qu’une guérison imparfaite, ou qu’il subsisterait un état stabilisé défectueux qui entraverait la formation professionnelle ou la capacité de gain, voire toutes les deux (ATF 105 V 20). c. En l’occurrence, les parents de la recourante ne prétendent à juste titre pas que l’intervention du 3 juillet 2018, de même que les consultations médicales auprès du pédiatre et de la gastroentérologue, sont nécessaires pour préserver ou améliorer la capacité de gain de l’enfant. Le chirurgien traitant a d’ailleurs précisé en audience que la malformation anectorale présentée par la recourante n’entraînerait probablement pas d’incapacité de travail. Il s’ensuit que les conditions d’une prise en charge selon l’art. 12 LAI ne sont pas non plus remplies.</w:t>
      </w:r>
    </w:p>
    <w:p>
      <w:r>
        <w:rPr>
          <w:b/>
        </w:rPr>
        <w:t>E. 10</w:t>
      </w:r>
    </w:p>
    <w:p>
      <w:r>
        <w:t>Vu ce qui précède, le recours, mal fondé, doit être rejeté. La procédure n’étant pas gratuite (art. 69 al. 1bis LAI), il y a lieu de condamner la recourante au paiement d’un émolument de CHF 200.-. * * * * * *</w:t>
      </w:r>
    </w:p>
    <w:p>
      <w:r>
        <w:t>A/2819/2019 - 11/11 -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