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ATAS/249/2016 vom 29. März 2016</w:t>
      </w:r>
    </w:p>
    <w:p>
      <w:r>
        <w:t>GE Cour de justice, 2016-03-29, FR</w:t>
      </w:r>
    </w:p>
    <w:p>
      <w:r>
        <w:rPr>
          <w:b/>
        </w:rPr>
        <w:t xml:space="preserve">Quelle: </w:t>
      </w:r>
      <w:r>
        <w:t>https://mcp.opencaselaw.ch/entscheid/ge_gerichte_ATAS_249_2016</w:t>
      </w:r>
    </w:p>
    <w:p>
      <w:r>
        <w:t>FR: GE_GERICHTE ATAS/249/2016 du 29 mars 2016</w:t>
      </w:r>
    </w:p>
    <w:p>
      <w:r>
        <w:t>IT: GE_GERICHTE ATAS/249/2016 del 29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Sur le plan matériel, le cas d'espèce est régi par le nouveau droit en vigueur dès le 1er janvier 2003, eu égard au principe selon lequel les règles applicables sont celles en vigueur au moment où les faits juridiquement déterminants se sont produits (ATF 132 III 523 consid. 4.3 p. 527 et les références). Quant à la procédure, le nouveau droit est applicable (ATF 130 V 1).</w:t>
      </w:r>
    </w:p>
    <w:p>
      <w:r>
        <w:rPr>
          <w:b/>
        </w:rPr>
        <w:t>E. 3</w:t>
      </w:r>
    </w:p>
    <w:p>
      <w:r>
        <w:t>Interjeté dans la forme et le délai légal, le recours est recevable (art. 56 et 60 LPGA).</w:t>
      </w:r>
    </w:p>
    <w:p>
      <w:r>
        <w:rPr>
          <w:b/>
        </w:rPr>
        <w:t>E. 4</w:t>
      </w:r>
    </w:p>
    <w:p>
      <w:r>
        <w:t>Le litige porte sur le bien-fondé de la demande en réparation du dommage intentée par l’intimée à l’encontre du recourant, pris conjointement et solidairement, à hauteur de CHF 10'343.20 correspondant aux cotisations paritaires AVS/AI/APG/AC et assurance maternité des périodes de novembre et décembre 2009, mai à juillet 2010 et janvier et février 2011, périodes pendant lesquelles le recourant était administrateur unique de la société. Ce montant inclut en outre des frais administratifs et des intérêts moratoires, ainsi que les frais de poursuites.</w:t>
      </w:r>
    </w:p>
    <w:p>
      <w:r>
        <w:rPr>
          <w:b/>
        </w:rPr>
        <w:t>E. 5</w:t>
      </w:r>
    </w:p>
    <w:p>
      <w:r>
        <w:t>a. À teneur de l’art. 52 LAVS en vigueur dès le 1er janvier 2003 (introduit par le ch. 7 de l'annexe à la LPGA), l’employeur qui, intentionnellement ou par négligence grave, n’observe pas des prescriptions et cause ainsi un dommage à l’assurance, est tenu à réparation (al. 1).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w:t>
      </w:r>
    </w:p>
    <w:p>
      <w:r>
        <w:t>A/2828/2015 - 8/17 - c. En l’espèce, le dommage subi par la caisse consiste en la perte de la créance de cotisations, frais et intérêts compris, due par la société pour les périodes de novembre et décembre 2009, mai à juillet 2010 et janvier et février 2011, soit la somme de CHF 10'343.20 selon courrier de la caisse du 13 janvier 2014. d.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et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ATAS/712/2015).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w:t>
      </w:r>
    </w:p>
    <w:p>
      <w:r>
        <w:rPr>
          <w:b/>
        </w:rPr>
        <w:t>E. 6</w:t>
      </w:r>
    </w:p>
    <w:p>
      <w:r>
        <w:t>Il convient d’examiner en premier lieu si l’intimée a rendu sa décision en réparation du dommage en temps utile. a.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 En revanche, lorsque la caisse subit un dommage à cause de l'insolvabilité de l'employeur mais en dehors de la faillite de celui-ci, le moment de la connaissance du dommage et, partant, le point de départ du délai de deux ans coïncide avec le moment de la délivrance d'un acte de défaut de biens ou d'un procès-verbal de</w:t>
      </w:r>
    </w:p>
    <w:p>
      <w:r>
        <w:t>A/2828/2015 - 9/17 - saisie valant acte de défaut de biens définitif au sens de l'art. 115 al. 1 LP (en corrélation avec l'art. 149 LP), soit lorsque le procès-verbal de saisie indique que les biens saisissables font entièrement défaut (cf. ATF 113 V 256 consid. 3c; ATAS/712/2015).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b. En l’espèce, l’intimée a eu connaissance du dommage au plus tôt le 28 juin 2012, date de réception des premiers procès-verbaux de saisie valant actes de défaut de biens au sens des articles 115 al. 1 et 149 LP. En notifiant ses demandes en réparation du dommage le 13 janvier 2014, portant sur des cotisations impayées pour les années 2009 à 2011, l’intimée a respecté les délais de deux et cinq ans de l’art. 52 al. 3 LAVS.</w:t>
      </w:r>
    </w:p>
    <w:p>
      <w:r>
        <w:rPr>
          <w:b/>
        </w:rPr>
        <w:t>E. 7</w:t>
      </w:r>
    </w:p>
    <w:p>
      <w:r>
        <w:t>Il convient de déterminer si l’intéressé peut être assimilé à un « employeur » tenu de verser les cotisations à la caisse au sens de l’art. 52 LAVS. a.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w:t>
      </w:r>
    </w:p>
    <w:p>
      <w:r>
        <w:t>A/2828/2015 - 10/17 - sein de l'entreprise. Savoir si un organe a commis une faute dépend des responsabilités et des compétences qui lui ont été confiées par l'entreprise (ATF 108 V 199 consid. 3a p. 202). c.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p. 223 et les références; voir également arrêts 9C_152/2009 du 18 novembre 2009 consid. 6.1, in SVR 2010 AHV n° 4 p. 11; 4C_358/2005 du</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recourant a sollicité l'audition de M. C______. Son audition ne servirait à rien. Elle n'atténuerait pas la lourde responsabilité du recourant. M. C______ est de toute manière coresponsable solidaire du recourant, et il n'a pas formé opposition à la décision identique en réparation du dommage qui lui a été notifiée. Même à supposer que M. C______ soit venu déclarer que l'administrateur n'y serait pour rien que cela ne changerait rien à la responsabilité du recourant vis-à-vis des tiers et de l'intimée en particulier. Il sera donc renoncé à l'audition demandée.</w:t>
      </w:r>
    </w:p>
    <w:p>
      <w:r>
        <w:rPr>
          <w:b/>
        </w:rPr>
        <w:t>E. 13</w:t>
      </w:r>
    </w:p>
    <w:p>
      <w:r>
        <w:t>Eu égard à la jurisprudence claire du Tribunal fédéral, la chambre de céans considère, au vu de ce qui précède, que l’intéressé a violé son devoir de diligence et qu’il y a un lien de causalité entre son comportement et le dommage subi par la caisse. Il y a dès lors lieu d’admettre que son inaction constitue une négligence grave au sens de l'art. 52 LAVS, de sorte que le recours, mal fondé, est rejeté.</w:t>
      </w:r>
    </w:p>
    <w:p>
      <w:r>
        <w:rPr>
          <w:b/>
        </w:rPr>
        <w:t>E. 14</w:t>
      </w:r>
    </w:p>
    <w:p>
      <w:r>
        <w:t>La procédure est gratuite (cf. art. 61 let. a LPGA ; art. 89H de la loi sur la procédure administrative du 12 septembre 1985 (LPA-GE - E 5 10)</w:t>
      </w:r>
    </w:p>
    <w:p>
      <w:r>
        <w:t>A/2828/2015 - 17/17 -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