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ATAS/249/2012 vom 8. März 2012</w:t>
      </w:r>
    </w:p>
    <w:p>
      <w:r>
        <w:t>GE Cour de justice, 2012-03-08, FR</w:t>
      </w:r>
    </w:p>
    <w:p>
      <w:r>
        <w:rPr>
          <w:b/>
        </w:rPr>
        <w:t xml:space="preserve">Quelle: </w:t>
      </w:r>
      <w:r>
        <w:t>https://mcp.opencaselaw.ch/entscheid/ge_gerichte_ATAS_249_2012</w:t>
      </w:r>
    </w:p>
    <w:p>
      <w:r>
        <w:t>FR: GE_GERICHTE ATAS/249/2012 du 8 mars 2012</w:t>
      </w:r>
    </w:p>
    <w:p>
      <w:r>
        <w:t>IT: GE_GERICHTE ATAS/249/2012 del 8 marzo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L’application de la LPGA et de la LAI a été traitée dans le cadre de l’arrêt du Tribunal cantonal des assurances sociales du 29 avril 2010, aujourd’hui en force, de sorte qu’il n’y a pas lieu d’y revenir.</w:t>
      </w:r>
    </w:p>
    <w:p>
      <w:r>
        <w:rPr>
          <w:b/>
        </w:rPr>
        <w:t>E. 3</w:t>
      </w:r>
    </w:p>
    <w:p>
      <w:r>
        <w:t>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consid. 4.2). En l’espèce, la recourante allègue, sans être contredite, avoir reçu la décision du 16 novembre 2011, le 18 novembre 2011. Ainsi, le recours adressé au greffe de la Chambre des assurances sociales de la Cour de justice par pli postal du 30 décembre 2011 intervient en temps utile (art. 60 al. 1 LPGA), compte tenu de la période de suspension des délais du 18 décembre au 2</w:t>
      </w:r>
    </w:p>
    <w:p>
      <w:r>
        <w:t>A/4509/2011 - 10/14 - janvier inclus (art. 38 al. 4 lit. c LPGA). Les autres conditions prévues par les art. 56 et ss LPGA étant réalisées, le recours est recevable.</w:t>
      </w:r>
    </w:p>
    <w:p>
      <w:r>
        <w:rPr>
          <w:b/>
        </w:rPr>
        <w:t>E. 4</w:t>
      </w:r>
    </w:p>
    <w:p>
      <w:r>
        <w:t>Le litige porte sur le droit de la recourante à des prestations de l’assurance- invalidité. La recourante remet en cause l’instruction médicale, considérant qu’une expertise rhumatologique devait être mise sur pied.</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w:t>
      </w:r>
    </w:p>
    <w:p>
      <w:r>
        <w:t>A/4509/2011 - 11/14 -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Selon l'art. 28 al. 1 LAI,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du médecin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w:t>
      </w:r>
    </w:p>
    <w:p>
      <w:r>
        <w:t>A/4509/2011 - 12/14 - thérapeutique et un mandat d'expertise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7</w:t>
      </w:r>
    </w:p>
    <w:p>
      <w:r>
        <w:t>a) En l’espèce, la recourante fonde son recours sur le seul argument qu’une expertise rhumatologique serait indispensable. Elle ne motive toutefois pas sa position, si ce n’est en faisant référence aux arrêts du Tribunal fédéral du 23 février 2010 et du Tribunal cantonal des assurances sociales du 29 avril 2010, renvoyant auxdites décisions. L’arrêt précité du Tribunal fédéral se borne toutefois à constater que, par inadvertance liée à une erreur de classement des actes au dossier, le Tribunal cantonal des assurances sociales avait rendu sa première décision sur la base d’un dossier incomplet, et sans se prononcer sur l’ensemble des conclusions. Cet arrêt du Tribunal fédéral n’est ainsi d’aucun secours à la recourante, que ce soit quant au fond ou quant à l’instruction médicale du dossier. Quant à l’arrêt précité du Tribunal cantonal des assurances sociales, il a renvoyé le dossier à l’OAI, faisant droit aux conclusions en ce sens de ce dernier, qui estimait qu’il existait « de nombreuses incohérences manifestes sur le plan médical ainsi que des éléments nouveaux ». Le Tribunal cantonal des assurances sociales n’a ainsi ni examiné le fond, ni prescrit les mesures médicales à mettre en œuvre par l’OAI dans le cadre du renvoi. Cette décision n’est ainsi d’aucune utilité non plus à la recourante. b) Reste à examiner si une expertise rhumatologique s’imposait, afin d’élucider l’état de fait médical pertinent. Une fois le dossier retourné à l’OAI, le Dr S__________ du SMR reprit l’instruction médicale, interrogeant les différents médecins de la recourante. Au plan rhumatologique, l’avis du 8 août 2010 du Dr M__________, rhumatologue traitant, était que l’état de la recourante était stationnaire. Le Dr S__________ prit encore contact téléphoniquement avec le Dr M__________, lequel confirma qu’un diagnostic de rhumatisme inflammatoire ne pouvait être posé, que les arthralgies avaient réagi au traitement et ne constituaient pas l’entier du problème, qu’il existait effectivement une discordance radio- clinique, qu’il ne s’expliquait pas les problèmes de sa patiente, qu’il n’y avait pas de fibromyalgie, qu’il n’avait pas l’impression qu’il s’agisse de simulation, et qu’il pourrait s’agir d’un problème psychiatrique.</w:t>
      </w:r>
    </w:p>
    <w:p>
      <w:r>
        <w:t>A/4509/2011 - 13/14 - Dans ces conditions, et compte tenu du rapport d’examen rhumatologique au SMR le 29 juin 2007 par le Dr Q__________, détaillé, convainquant et ayant pleine valeur probante, il n’était nullement utile de mettre en œuvre une expertise rhumatologique. A ce stade, la Chambre des assurances sociales relèvera que l’avis du Dr Q__________ n’a pas été sérieusement remis en cause d’un point de vue médical. Seul le Dr L__________ l’a critiqué, mais en termes généraux et sans argumentation médicale pertinente. Le Dr S__________ a pris en compte l’avis du rhumatologue traitant en mettant en œuvre une expertise psychiatrique, puisque l’explication pouvait relever de cette spécialité. Il s’avère ainsi que l’instruction médicale menée par l’OAI, respectivement le SMR est complète et sérieuse, de sorte que les critiques de la recourante, d’ailleurs formulées en termes vagues et généraux sont dénuées de fondement. c) Enfin, la Chambre des assurances sociales constate que tant d’un point de vue rhumatologique (rapport d’examen du SMR du 29 juin 2007) que d’un point de vue psychiatrique (expertise du Dr T__________ du 13 mai 2011), la capacité de travail dans l’activité habituelle reste entière. Le Dr T__________ a certes diagnostiqué un trouble douloureux avec répercussion sur la capacité de travail, mais a conclu à l’absence de comorbidité psychiatrique majeure. De la sorte, son avis n’est pas contradictoire. L’avis du Dr T__________ n’est d’ailleurs remis en cause par aucun médecin et revêt une pleine valeur probante. Comme déjà indiqué, bien que le rhumatologue et le médecin traitant aient une appréciation différente du Dr Q__________ au sujet de la capacité de travail, l’avis de ce dernier n’a pas été sérieusement remis en cause et revêt une pleine valeur probante. Enfin, sur le plan neurologique, le Dr U_________ a écarté toute incapacité de travail liée aux migraines dont souffre la recourante. Ainsi, c’est à bon droit que l’OAI a rejeté la demande de prestations AI de la recourante.</w:t>
      </w:r>
    </w:p>
    <w:p>
      <w:r>
        <w:rPr>
          <w:b/>
        </w:rPr>
        <w:t>E. 8</w:t>
      </w:r>
    </w:p>
    <w:p>
      <w:r>
        <w:t>Le recours sera ainsi rejeté.</w:t>
      </w:r>
    </w:p>
    <w:p>
      <w:r>
        <w:rPr>
          <w:b/>
        </w:rPr>
        <w:t>E. 9</w:t>
      </w:r>
    </w:p>
    <w:p>
      <w:r>
        <w:t>Un émolument de 200 fr. est mis à charge de la recourante, qui succombe (art. 69 al. 1bis LAI).</w:t>
      </w:r>
    </w:p>
    <w:p>
      <w:r>
        <w:t>A/4509/2011 - 14/14 -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