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ATAS/248/2022 vom 16. März 2022</w:t>
      </w:r>
    </w:p>
    <w:p>
      <w:r>
        <w:t>GE Cour de justice, 2022-03-16, FR</w:t>
      </w:r>
    </w:p>
    <w:p>
      <w:r>
        <w:rPr>
          <w:b/>
        </w:rPr>
        <w:t xml:space="preserve">Quelle: </w:t>
      </w:r>
      <w:r>
        <w:t>https://mcp.opencaselaw.ch/entscheid/ge_gerichte_ATAS_248_2022</w:t>
      </w:r>
    </w:p>
    <w:p>
      <w:r>
        <w:t>FR: GE_GERICHTE ATAS/248/2022 du 16 mars 2022</w:t>
      </w:r>
    </w:p>
    <w:p>
      <w:r>
        <w:t>IT: GE_GERICHTE ATAS/248/2022 del 16 marzo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w:t>
      </w:r>
    </w:p>
    <w:p>
      <w:r>
        <w:t>A/3354/2021 4/6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civil a ordonné le partage par moitié des prestations de sortie acquises durant le mariage par les demandeurs. Les dates pertinentes sont, d’une part, celle du mariage, le 28 novembre 2013, d’autre part le 8 avril 2019, date à laquelle la demande en divorce a été déposée.</w:t>
      </w:r>
    </w:p>
    <w:p>
      <w:r>
        <w:rPr>
          <w:b/>
        </w:rPr>
        <w:t>E. 6</w:t>
      </w:r>
    </w:p>
    <w:p>
      <w:r>
        <w:t>Selon les documents produits, la prestation acquise pendant le mariage par le demandeur est de CHF 10'493.35 (CHF 16'216.35 + CHF 1'328.25 – CHF 7'051.25) tandis que celle acquise par la demanderesse est de CHF 0.- , les intérêts ayant déjà été calculés par l’institution de prévoyance défenderesse. Ainsi c’est le demandeur qui doit à son ex-épouse le montant de CHF 5'246.70 (CHF 10'493.36 : 2), cette dernière ne disposant pas d’avoir de prévoyance.</w:t>
      </w:r>
    </w:p>
    <w:p>
      <w:r>
        <w:rPr>
          <w:b/>
        </w:rPr>
        <w:t>E. 7</w:t>
      </w:r>
    </w:p>
    <w:p>
      <w:r>
        <w:t>Le demandeur dans son écriture du 8 mars 2022 a indiqué que son avoir de prévoyance s’élevait à CHF 10'489.75 ([CHF 16'216.35 – CHF 7'054.85] + CHF 1'328.25). Toutefois, il doit être tenu compte de l’avoir au mariage augmenté des intérêts jusqu’à la date du dépôt de la demande en divorce, soit le 8 avril 2019 (CHF 7'051.25) et non le 8 avril 2021 (CHF 7'054.85), comme calculé par la CIEPP dans son courrier du 2 février 2022.</w:t>
      </w:r>
    </w:p>
    <w:p>
      <w:r>
        <w:t>A/3354/2021 5/6</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w:t>
      </w:r>
    </w:p>
    <w:p>
      <w:r>
        <w:t>A/3354/2021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