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ATAS/248/2020 vom 17. März 2020</w:t>
      </w:r>
    </w:p>
    <w:p>
      <w:r>
        <w:t>GE Cour de justice, 2020-03-17, FR</w:t>
      </w:r>
    </w:p>
    <w:p>
      <w:r>
        <w:rPr>
          <w:b/>
        </w:rPr>
        <w:t xml:space="preserve">Quelle: </w:t>
      </w:r>
      <w:r>
        <w:t>https://mcp.opencaselaw.ch/entscheid/ge_gerichte_ATAS_248_2020</w:t>
      </w:r>
    </w:p>
    <w:p>
      <w:r>
        <w:t>FR: GE_GERICHTE ATAS/248/2020 du 17 mars 2020</w:t>
      </w:r>
    </w:p>
    <w:p>
      <w:r>
        <w:t>IT: GE_GERICHTE ATAS/248/2020 del 17 marzo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sous cet angle.</w:t>
      </w:r>
    </w:p>
    <w:p>
      <w:r>
        <w:rPr>
          <w:b/>
        </w:rPr>
        <w:t>E. 3</w:t>
      </w:r>
    </w:p>
    <w:p>
      <w:r>
        <w:t>L’intimé conclut à l’irrecevabilité du recours pour défaut de légitimation active de l’assurée.</w:t>
      </w:r>
    </w:p>
    <w:p>
      <w:r>
        <w:rPr>
          <w:b/>
        </w:rPr>
        <w:t>E. 4</w:t>
      </w:r>
    </w:p>
    <w:p>
      <w:r>
        <w:t>a. Le point de savoir si une partie a la qualité pour agir (ou légitimation active) ou la qualité pour défendre (légitimation passive) – question qui est examinée d’office (ATF 110 V 347 consid. 1 ; arrêt du Tribunal fédéral 9C_40/2009 du 27 janvier 2010 consid. 3.2.1) – se détermine selon le droit applicable au fond,</w:t>
      </w:r>
    </w:p>
    <w:p>
      <w:r>
        <w:t>A/1769/2019 - 4/10 -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(ATF 138 III 537 consid. 2.2.1 ; ATF 125 III 82 consid. 1a). b. Quiconque est touché par la décision ou la décision sur opposition et a un intérêt digne d’être protégé à ce qu’elle soit annulée ou modifiée a qualité pour recourir (art. 59 LPGA).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en particulier, la personne doit se trouver dans un rapport suffisamment étroit avec la décision, tel n’étant pas le cas de celui qui n’est atteint que de manière indirecte ou médiate (ATF 125 V 342 consid. 4a). c. À teneur de l’art. 35 LAI, les hommes et les femmes qui peuvent prétendre à une rente d’invalidité ont droit à une rente pour chacun des enfants qui, au décès de ces personnes, auraient droit à la rente d’orphelin de l’assurance-vieillesse et survivants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w:t>
      </w:r>
    </w:p>
    <w:p>
      <w:r>
        <w:t>A/1769/2019 - 5/10 - Aux termes de l’art. 71ter du règlement sur l’assurance-vieillesse et survivants du 31 octobre 1947 (RAVS - RS 831.101), par renvoi de l’art. 82 al. 1 du règlement du 17 janvier 1961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d.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et les références). 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Ces rentes devaient dépendre de l’existence d’un droit à une rente principale et revenir au même ayant droit ; les proches parents n’avaient pas un droit propre aux rentes complémentaires. Les rentes complémentaires devaient s’ajouter à la rente principale et constituer un revenu de substitution pour l’assuré invalide en vue de lui permettre de subvenir à l’entretien de sa famille (arrêt du Tribunal fédéral 9C_915/2015 du 2 juin 2016 consid. 6.1 et les références). La jurisprudence a précisé que la rente complémentaire pour enfant n’a, à la différence de la rente d’orphelin, pas pour fonction de compenser les difficultés</w:t>
      </w:r>
    </w:p>
    <w:p>
      <w:r>
        <w:t>A/1769/2019 - 6/10 -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(arrêt du Tribunal fédéral 9C_915/2015 du 2 juin 2016 consid. 6.2 et les références). Dans un arrêt du 11 juillet 2012 (ATF 138 V 292 consid. 4.2.2) portant sur la qualité pour recourir de l’enfant d’une personne au bénéfice de prestations complémentaires donnant droit à une rente pour enfant de l’assurance-invalidité, le Tribunal fédéral a laissé la question ouverte de savoir si l’art. 71ter al. 3 RAVS est également applicable en matière de prestations complémentaires, car le droit de l’enfant majeur au versement direct de la prestation complémentaire calculée séparément ne donne pas encore compétence pour recourir quant au principe et à l’étendue du droit à la prestation.</w:t>
      </w:r>
    </w:p>
    <w:p>
      <w:r>
        <w:rPr>
          <w:b/>
        </w:rPr>
        <w:t>E. 5</w:t>
      </w:r>
    </w:p>
    <w:p>
      <w:r>
        <w:t>En l’occurrence, l’intimé considère que l’assurée n’avait pas le pouvoir de représenter son fils, celui-ci ayant été mis sous curatelle de représentation et de gestion depuis le 11 janvier 2019. Ce raisonnement perd cependant de vue que l’enfant n’est pas le bénéficiaire direct de la rente complémentaire pour enfant. Les développements qui précèdent démontrent en effet que la rente complémentaire pour enfant constitue, avec la rente d’invalidité, une seule et même prestation. Or, il n’est pas contesté que la recourante a été mise au bénéfice d’une rente entière d’invalidité et de rentes complémentaires pour enfant. C’est donc bien l’assurée qui est titulaire de la rente complémentaire pour enfant. Peu importe, à cet égard, que l’enfant majeur ait la possibilité de demander que la rente pour enfant lui soit versée directement (cf. art. 71ter al. 3 RAVS par renvoi de l’art. 82 al. 1 RAI). En effet, conformément à la LAI et à la jurisprudence, le droit de l’enfant majeur au versement direct de la prestation complémentaire ne donne pas encore compétence pour recourir quant au principe et à l’étendue du droit en question. La qualité pour recourir de l’assurée doit partant être admise.</w:t>
      </w:r>
    </w:p>
    <w:p>
      <w:r>
        <w:rPr>
          <w:b/>
        </w:rPr>
        <w:t>E. 6</w:t>
      </w:r>
    </w:p>
    <w:p>
      <w:r>
        <w:t>Sur le fond, le litige porte sur le point de savoir si l’intimé était fondé à supprimer le droit de la recourante à la rente complémentaire pour enfant de l’assurance-invalidité concernant son fils dès le 1er mai 2019.</w:t>
      </w:r>
    </w:p>
    <w:p>
      <w:r>
        <w:rPr>
          <w:b/>
        </w:rPr>
        <w:t>E. 7</w:t>
      </w:r>
    </w:p>
    <w:p>
      <w:r>
        <w:t>a. À teneur de l’art. 35 al. 1 LAI, les hommes et les femmes qui peuvent prétendre à une rente d’invalidité ont droit à une rente pour chacun des enfants qui, au décès de ces personnes, auraient droit à la rente d’orphelin de l’assurance-vieillesse et survivants. Il s’agit d’un renvoi à l’art. 25 LAVS, qui prévoit notamment que le droit à une rente d’orphelin prend naissance le premier jour du mois suivant le</w:t>
      </w:r>
    </w:p>
    <w:p>
      <w:r>
        <w:t>A/1769/2019 - 7/10 - décès du père ou de la mère. Aux termes de cette disposition, ce droit à la rente s’éteint au 18ème anniversaire ou au décès de l’orphelin (al. 4). Pour les enfants qui accomplissent une formation, le droit à la rente s’étend jusqu’au terme de cette formation, mais au plus jusqu’à l’âge de 25 ans révolus. Le Conseil fédéral peut définir ce que l’on entend par formation (al. 5). b.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c. Avant l’entrée en vigueur le 1er janvier 2011 de cette disposition réglementaire,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Directives concernant les rentes de l’assurance-vieillesse, survivants et invalidité fédérale de l’Office fédéral des assurances sociales (OFAS), valables dès le 1er janvier 2003. D’après ces directives, état au 1er janvier 2020,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3360).</w:t>
      </w:r>
    </w:p>
    <w:p>
      <w:r>
        <w:rPr>
          <w:b/>
        </w:rPr>
        <w:t>E. 8</w:t>
      </w:r>
    </w:p>
    <w:p>
      <w:r>
        <w:t>Le juge des assurances sociales fonde sa décision, sauf dispositions contraires de la loi, sur les faits qui, faute d’être établis de manière irréfutable, apparaissent comme</w:t>
      </w:r>
    </w:p>
    <w:p>
      <w:r>
        <w:t>A/1769/2019 - 8/10 -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et ATF 125 V 195 consid. 2 ainsi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l’occurrence, il est constant que le fils de la recourante a eu 18 ans le 3 avril 2019. Depuis le 28 août 2018, l’intéressé est admis au sein de la Fondation G______ pour une prise en charge thérapeutique et psychoéducative. La question se pose donc de savoir si une telle prise en charge peut être considérée comme une formation au sens des art. 25 al. 5 LAVS et 49bis al. 1 RAVS (par renvoi de l’art. 35 al. 1 LAI). Dans sa réponse, l’intimé le conteste, se fondant sur le caractère thérapeutique du séjour et sur l’absence de plan de formation structuré et d’obtention d’un diplôme professionnel spécifique ou de connaissances nécessaires à l’exercice d’une profession. Sur ce point, il convient de lui donner raison. Il ressort du dossier, en particulier de l’extrait du site internet de la Fondation G______ produit par l’intimé, que le séjour thérapeutique, qui concerne les jeunes personnes faisant face à des fragilités psychiques et/ou des problèmes d’insertion, ne vise pas l’obtention d’un diplôme professionnel spécifique, ni l’exercice d’une activité professionnelle. Son objectif est autre : faire ses expériences sociales en communauté de vie, vivre en relation avec la nature et la culture, développer la confiance en soi et dans les autres, apprendre à gérer ses difficultés et surmonter les crises. Les moyens pour y parvenir couvrent un large éventail, à savoir divers espaces d’habitation communautaire, rythme de vie, alimentation saine, agriculture biodynamique et soins des animaux, alternance entre thérapies artistiques et travaux pratiques, cours manuels et artistiques, suivi médical et paramédical, entretiens réguliers et suivi personnalisé, entretiens de groupe, entretiens de famille, voyages culturels, camps de ski et randonnées, jeux, sport, musique, fêtes. Sur la base de ces éléments, il n’est pas possible de retenir que le fils de la recourante suit un plan de formation structuré, ni que le temps total consacré à la formation s’élève à vingt heures au moins par semaine. Il n’est ainsi pas démontré, au degré de la vraisemblance prépondérante, que l’enfant de la recourante consacre l’essentiel de son temps à sa formation. C’est partant à juste titre que l’intimé a supprimé la rente complémentaire pour enfant au-delà du 1er mai 2019.</w:t>
      </w:r>
    </w:p>
    <w:p>
      <w:r>
        <w:t>A/1769/2019 - 9/10 -</w:t>
      </w:r>
    </w:p>
    <w:p>
      <w:r>
        <w:rPr>
          <w:b/>
        </w:rPr>
        <w:t>E. 10</w:t>
      </w:r>
    </w:p>
    <w:p>
      <w:r>
        <w:t>Mal fondé, le recours sera rejeté. La procédure n’étant pas gratuite (art. 69 al. 1bis LAI), il y a lieu de condamner la recourante au paiement d’un émolument de CHF 200.-. * * * * * *</w:t>
      </w:r>
    </w:p>
    <w:p>
      <w:r>
        <w:t>A/1769/2019 - 10/10 -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