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ATAS/248/2018 vom 19. März 2018</w:t>
      </w:r>
    </w:p>
    <w:p>
      <w:r>
        <w:t>GE Cour de justice, 2018-03-19, FR</w:t>
      </w:r>
    </w:p>
    <w:p>
      <w:r>
        <w:rPr>
          <w:b/>
        </w:rPr>
        <w:t xml:space="preserve">Quelle: </w:t>
      </w:r>
      <w:r>
        <w:t>https://mcp.opencaselaw.ch/entscheid/ge_gerichte_ATAS_248_2018</w:t>
      </w:r>
    </w:p>
    <w:p>
      <w:r>
        <w:t>FR: GE_GERICHTE ATAS/248/2018 du 19 mars 2018</w:t>
      </w:r>
    </w:p>
    <w:p>
      <w:r>
        <w:t>IT: GE_GERICHTE ATAS/248/2018 del 19 marzo 2018</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L'objet du litige porte sur la suspension de huit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w:t>
      </w:r>
    </w:p>
    <w:p>
      <w:r>
        <w:t>A/5097/2017 - 4/7 -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w:t>
      </w:r>
    </w:p>
    <w:p>
      <w:r>
        <w:t>A/5097/2017 - 5/7 -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ne s’est pas présenté à l’entretien de conseil du 19 octobre 2017, sans s’excuser. Il a par la suite informé l’intimé qu’il avait oublié le rendez-</w:t>
      </w:r>
    </w:p>
    <w:p>
      <w:r>
        <w:t>A/5097/2017 - 6/7 - vous. Cet oubli ne constitue pas une excuse valable, de sorte qu’une sanction se justifie. Compte tenu d’un précédent manquement ayant donné lieu à une suspension du droit à l’indemnité du recourant de trois jours, (RPE insuffisantes en décembre 2016), la suspension du droit du recourant à l’indemnité de huit jours, conforme au barème précité, ne peut qu’être confirmée.</w:t>
      </w:r>
    </w:p>
    <w:p>
      <w:r>
        <w:rPr>
          <w:b/>
        </w:rPr>
        <w:t>E. 7</w:t>
      </w:r>
    </w:p>
    <w:p>
      <w:r>
        <w:t>Au vu de ce qui précède, le recours ne peut qu'être rejeté.</w:t>
      </w:r>
    </w:p>
    <w:p>
      <w:r>
        <w:rPr>
          <w:b/>
        </w:rPr>
        <w:t>E. 8</w:t>
      </w:r>
    </w:p>
    <w:p>
      <w:r>
        <w:t>Pour le surplus, la procédure est gratuite.</w:t>
      </w:r>
    </w:p>
    <w:p>
      <w:r>
        <w:t>A/5097/2017 - 7/7 -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