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ATAS/248/2011 vom 10. März 2011</w:t>
      </w:r>
    </w:p>
    <w:p>
      <w:r>
        <w:t>GE Cour de justice, 2011-03-10, FR</w:t>
      </w:r>
    </w:p>
    <w:p>
      <w:r>
        <w:rPr>
          <w:b/>
        </w:rPr>
        <w:t xml:space="preserve">Quelle: </w:t>
      </w:r>
      <w:r>
        <w:t>https://mcp.opencaselaw.ch/entscheid/ge_gerichte_ATAS_248_2011</w:t>
      </w:r>
    </w:p>
    <w:p>
      <w:r>
        <w:t>FR: GE_GERICHTE ATAS/248/2011 du 10 mars 2011</w:t>
      </w:r>
    </w:p>
    <w:p>
      <w:r>
        <w:t>IT: GE_GERICHTE ATAS/248/2011 del 10 marzo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w:t>
      </w:r>
    </w:p>
    <w:p>
      <w:r>
        <w:t>A/1669/2010 - 4/7 -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b) S’agissant des prestations complémentaires cantonales, l’art. 43 LPCC ouvre les mêmes voies de droit. c) En l’espèce, le recours a été déposé dans les forme et délai imposés par la loi, de sorte qu’il est recevable.</w:t>
      </w:r>
    </w:p>
    <w:p>
      <w:r>
        <w:rPr>
          <w:b/>
        </w:rPr>
        <w:t>E. 3</w:t>
      </w:r>
    </w:p>
    <w:p>
      <w:r>
        <w:t>La décision de restitution étant entrée en force, la présente procédure a pour unique objet la remise de l’obligation de restituer.</w:t>
      </w:r>
    </w:p>
    <w:p>
      <w:r>
        <w:rPr>
          <w:b/>
        </w:rPr>
        <w:t>E. 4</w:t>
      </w:r>
    </w:p>
    <w:p>
      <w:r>
        <w:t>a) Aux termes des art. 25 al. 1 LPGA (s’agissant des prestations fédérales) et 24 al. 1 LPCC (s’agissant des prestations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La demande de remise doit être présentée par écrit. Elle doit être accompagnée des pièces utiles et déposée au plus tard 30 jours à compter de l’entrée en force de la décision en restitution (cf. art. 25 LPGA et 15 du règlement d’application de la loi sur les prestations cantonales complémentaires à l’assurance-vieillesse et survivants et à l’assurance-invalidité [RPCC]). b) La remise de l'obligation de restituer est donc soumise à deux conditions cumulatives : la bonne foi de l'assuré et sa situation financière difficile.</w:t>
      </w:r>
    </w:p>
    <w:p>
      <w:r>
        <w:t>A/1669/2010 - 5/7 -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Par ailleurs, la restitution des prestations allouées indûment, mais reçues de bonne foi, ne peut être exigée si l’intéressé se trouve dans une situation difficile. Est déterminant, pour apprécier s’il y a une situation difficile, le moment où la décision de restitution est exécutoire. Il y a situation difficile lorsque les conditions de l’art. 5 de l’ordonnance fédérale sur la partie générale du droit des assurances sociales, du 11 septembre 2002, appliqué par analogie en matière de prestations cantonales, sont réalisées (art. 16 RPCC). L’ensemble de ces dispositions correspond aux normes contenues dans la LPGA et son droit d’exécution.</w:t>
      </w:r>
    </w:p>
    <w:p>
      <w:r>
        <w:rPr>
          <w:b/>
        </w:rPr>
        <w:t>E. 5</w:t>
      </w:r>
    </w:p>
    <w:p>
      <w:r>
        <w:t>En l’espèce, la curatrice de la recourante admet n'avoir pas informé l'intimé de l'augmentation de l'épargne de sa pupille postérieurement à 1995, pas plus que du fait que sa pupille était devenue propriétaire de biens immobiliers et avait contracté une assurance vie. L'argument selon lequel elle y aurait renoncé ne sachant sur quels éléments l'intimé avait fondé ses calculs ne saurait être retenu. En effet, il ressort des pièces produites par l'intimé que des décisions formelles comprenant un plan de calcul ont bel et bien été rendues au début des années 2004 et 2005.</w:t>
      </w:r>
    </w:p>
    <w:p>
      <w:r>
        <w:t>A/1669/2010 - 6/7 - Qui plus est, en admettant même que ces décisions n'aient pas été communiquées à la curatrice de la recourante, il ne pouvait échapper à celle-ci que le SPC ne pouvait avoir pris en compte les modifications postérieures à 1995 dont il n'avait jamais été informé. Force est donc de constater que la curatrice de la recourante a bel et bien failli à son devoir de renseigner le SPC, de sorte que sa bonne foi ne saurait être admise.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l'augmentation de l'épargne de sa pupille, le fait que cette dernière était devenue propriétaire et qu'elle avait contracté une assurance-vie devait ou non apparaître évidente à la curatrice de la recourante. Tel est le cas, manifestement, au vu de l'importance des changements en question et du nombre d'années écoulées depuis la dernière mise à jour des données communiquées à l'intimé. Il suit de tout ce qui précède que la curatrice de la recourante ne peut exciper, dans le cas d’espèce, de sa bonne foi. Partant, il est superfétatoire d’examiner si la condition de la charge trop lourde est réalisée. En effet, la faute du mandataire ou d'un auxiliaire est imputable à la partie elle-même (arrêt 1P.829/2005 du 1er mai 2006, consid. 3.3 publié in SJ 2006 I p. 449 et les arrêts cités), de sorte que, la faute du mandataire devant être assimilée à celle de la partie, il suffit que la curatrice de la bénéficiaire ne remplisse pas les conditions permettant la remise de l'obligation de restituer pour que celle-ci soit refusée (ATF 2A.202/2003 du 12 mai 2003). En conséquence, le recours est rejeté. .</w:t>
      </w:r>
    </w:p>
    <w:p>
      <w:r>
        <w:t>A/1669/2010 - 7/7 -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