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ATAS/247/2020 vom 17. März 2020</w:t>
      </w:r>
    </w:p>
    <w:p>
      <w:r>
        <w:t>GE Cour de justice, 2020-03-17, FR</w:t>
      </w:r>
    </w:p>
    <w:p>
      <w:r>
        <w:rPr>
          <w:b/>
        </w:rPr>
        <w:t xml:space="preserve">Quelle: </w:t>
      </w:r>
      <w:r>
        <w:t>https://mcp.opencaselaw.ch/entscheid/ge_gerichte_ATAS_247_2020</w:t>
      </w:r>
    </w:p>
    <w:p>
      <w:r>
        <w:t>FR: GE_GERICHTE ATAS/247/2020 du 17 mars 2020</w:t>
      </w:r>
    </w:p>
    <w:p>
      <w:r>
        <w:t>IT: GE_GERICHTE ATAS/247/2020 del 17 marzo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prescrits par la loi, compte tenu de la suspension des délais du 18 décembre au 2 janvier, le recours est recevable (art. 38 al. 4 let c et 60 LPGA ; art. 89B de la loi sur la procédure administrative du 12 septembre 1985 - [LPA-GE - E 5 10]).</w:t>
      </w:r>
    </w:p>
    <w:p>
      <w:r>
        <w:rPr>
          <w:b/>
        </w:rPr>
        <w:t>E. 3</w:t>
      </w:r>
    </w:p>
    <w:p>
      <w:r>
        <w:t>Le litige porte sur la question de savoir si les frais médicaux relatifs à la transplantation de cheveux au niveau frontal sont à la charge de l’assurance-maladie de base. Pour mémoire, l’assurance a accepté de prendre en charge les interventions de rhinoplastie et de turbinoplastie, et la recourante n’a pas contesté le refus de prendre en charge les injections de toxine botulique. Partant, seule reste litigieuse la prise en charge des coûts liés à la transplantation de cheveux.</w:t>
      </w:r>
    </w:p>
    <w:p>
      <w:r>
        <w:rPr>
          <w:b/>
        </w:rPr>
        <w:t>E. 4</w:t>
      </w:r>
    </w:p>
    <w:p>
      <w:r>
        <w:t>L’assurance-maladie sociale alloue des prestations en cas de maladie (art. 1a al. 2 let. a LAMal). a. 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w:t>
      </w:r>
    </w:p>
    <w:p>
      <w:r>
        <w:t>A/228/2019 - 10/18 -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w:t>
      </w:r>
    </w:p>
    <w:p>
      <w:r>
        <w:t>A/228/2019 - 13/18 -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w:t>
      </w:r>
    </w:p>
    <w:p>
      <w:r>
        <w:t>A/228/2019 - 14/18 -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A/228/2019 - 15/18 -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l’espèce, le diagnostic de dysphorie de genre ou transsexualisme (F 64.0) n’est pas contesté. L’intimée admet par ailleurs que, dans la mesure où la calvitie antérieure et temporale relève d’un processus de vieillissement qui survient fréquemment chez les hommes, la calvitie constitue un caractère sexuel secondaire typiquement masculin. Ainsi, en principe, l’intervention destinée à modifier ce caractère sexuel secondaire fait partie des prestations obligatoires à la charge de l’assurance obligatoire des soins au sens de la jurisprudence précitée. Encore faut-il que l’intervention proposée, soit la transplantation de cheveux au niveau frontal, réponde aux critères de l’efficacité, du caractère approprié et de l'économicité au sens de l’art. 32 al. 1 LAMal, ce que conteste l’intimée. En l’occurrence, compte tenu des avis médicaux versés au dossier, l’exigence du caractère approprié de la mesure doit être admise d’emblée. L’ensemble des médecins ayant suivi la recourante ont en effet reconnu que la greffe capillaire permettrait à l’intéressée de vivre son corps de manière plus en harmonie avec son identité de genre féminine et diminuerait sa dysphorie de genre (cf. rapport du Dr D______ du 4 juillet 2016 ; rapport des Drs G______ et H______ du 27 septembre 2017 ; rapport des Drs L______ et H______ du 23 avril 2019 ; rapports du Dr F______ des 30 janvier 2018 et 24 avril 2019). Les appréciations des médecins se fondent sur les caractéristiques personnelles de la recourante et les souffrances dont elle leur a fait part. Les Drs L______ et H______ ont en particulier relevé que, d’un point de vue psychiatrique, une greffe capillaire était indispensable. Les attributs masculins de la recourante, tels que la calvitie, l’exposaient à de la discrimination et de la stigmatisation. Cette apparence masculine entretenait et augmentait sa souffrance psychique liée à la dysphorie de genre. La recourante présentait une diminution de l’estime d’elle-même, une sensation de honte et de dégoût, un retrait social, dû à l’anxiété constante d’être</w:t>
      </w:r>
    </w:p>
    <w:p>
      <w:r>
        <w:t>A/228/2019 - 16/18 - perçue comme un homme et une réduction de son énergie. Le Dr F______ a quant à lui confirmé que la perte de cheveux entraînait une gêne psychosociale significative pour la transition en femme de l’intéressée. L’indication médicale est ainsi clairement établie, de sorte que le caractère approprié de l’intervention l’est également. L’intervention – dont il n’est pas contesté qu’elle permet de diminuer la calvitie masculine antérieure et temporale – remplit en outre l’exigence de l’utilité thérapeutique en ce sens qu’elle entre dans le type d’interventions propres à réduire les effets de la dysphorie de genre. Cela ressort notamment de l’appréciation du Dr E______, selon lequel la transplantation de cheveux au niveau frontal (une implantation plus basse et féminine) est un traitement reconnu comme efficace pour compléter la transformation de genre (cf. rapport médical du 28 août 2017). Le Dr F______ a également confirmé qu’une greffe capillaire permettait de conforter la patiente dans son identité féminine et réduire, de ce fait, la dysphorie de genre. L’intimée conteste l’efficacité de la mesure, faisant valoir qu’une autre mesure adéquate entre en ligne de compte, soit le port d’une perruque. Il s’agirait d’ailleurs du procédé généralement utilisé en cas de dysphorie de genre. Avec cet argument, l’intimée perd cependant de vue qu’une prestation est efficace au sens de l’art. 32 al. 1 LAMal, lorsqu’on peut objectivement en attendre le résultat thérapeutique visé par le traitement de la maladie, à savoir la suppression la plus complète possible de l’atteinte à la santé somatique ou psychique. Or, dans leur appréciation du 23 avril 2019, les Drs L______ et H______ ont relevé qu’une implantation capillaire était plus appropriée que le port d’une perruque, qui serait perçue comme artificielle et associée à la calvitie masculine sous-jacente. Le Dr F______ rejoint également cet avis, exprimant des doutes quant au fait qu’une « telle mesure artificielle puisse aider à diminuer la dysphorie de genre au même titre qu’une greffe capillaire » (réponses aux questions de la chambre de céans du 6 février 2020). Il y a donc lieu de suivre l’appréciation des médecins, dont les conclusions ne sont mises en doute par aucun avis contraire, et d’admettre que le port d’une perruque est une mesure globalement moins efficace qu’une implantation capillaire pour compléter la transformation de genre chez les personnes souffrant d’une dysphorie de genre. Reste à déterminer si l’implantation capillaire répond au critère de l’économicité posé à l’art. 32 al. 1 LAMal, étant rappelé que le but du traitement médical, dans les limites de l’assurance-maladie, est d’éliminer de la manière la plus complète possible les atteintes physiques et psychiques à la santé de l’assuré. Dans la décision entreprise, l’intimée a retenu que le montant de la greffe capillaire envisagée, dont le devis s’élevait à CHF 20'000.-, était appelé à augmenter dans le futur en raison d’une calvitie croissante. Elle a souligné que la chute des cheveux était un processus dynamique, de sorte qu’il était certain que la calvitie présentée par la recourante, qui n’était âgée que de 27 ans, ne cesserait d’augmenter au fil des années. Le traitement proposé par les médecins de l’intéressée était ainsi nettement</w:t>
      </w:r>
    </w:p>
    <w:p>
      <w:r>
        <w:t>A/228/2019 - 17/18 - plus coûteux que le port d’une perruque, étant précisé que l’assurance-invalidité prenait en charge le coût d’une perruque à hauteur de CHF 1'500.- par an. En l’occurrence, on peut d’emblée questionner le caractère alternatif de la mesure proposée par l’intimée dans la mesure où, comme elle l’admet elle-même, le coût d’une perruque ne serait vraisemblablement pas à la charge de l’assurance obligatoire des soins (cf. arrêt du Tribunal fédéral 9C_550/2012 du 13 juillet 2013 concernant le remboursement par l’assurance-invalidité d’une perruque à une femme transsexuelle souffrant d’une calvitie typiquement « masculine »). Quoi qu’il en soit, il n’y pas de disproportion évidente entre les frais de l’intervention et le résultat que l’on peut en attendre. En effet, la recourante étant âgée de 29 ans, l’intervention aura pour effet d’éliminer de manière définitive une atteinte physique qui, en l’absence de greffe, sera amenée à persister durant de nombreuses années. L’argument de l’intimée selon lequel le devis serait appelé à augmenter dans le futur en raison d’une calvitie croissante ne trouve aucun appui dans les pièces du dossier. Le Dr F______ a certes indiqué que l’alopécie ne s’était pas améliorée malgré le traitement hormonal ayant eu pour effet de bloquer de manière très efficace la sécrétion de testostérone. Il n’a cependant fait aucune mention d’une péjoration de la situation depuis le début du traitement en 2014. Il a par ailleurs relevé que l’alopécie de la recourante était probablement la conséquence de facteurs génétiques et hormonaux liés à la présence de testostérone avant l’hormonothérapie actuelle. Or, le taux de testostérone actuel de l’intéressée, en tant qu’il était « effondré », n’avait plus d’incidence sur sa perte de cheveux. On peut donc en déduire que l’hormonothérapie a eu des effets positifs sur la perte de cheveux de la recourante, ce qui paraît du reste ressortir des photographies produites par l’intéressée (pièces 10 et 11 recourante). Dans ces conditions, il n’est pas possible de retenir, au degré de la vraisemblance prépondérante, que le montant de l’intervention serait appelé à augmenter en raison d’une calvitie croissante. Il résulte de ce qui précède que l’intervention proposée, consistant dans la transplantation de cheveux au niveau frontal, doit être prise en charge par l’intimée.</w:t>
      </w:r>
    </w:p>
    <w:p>
      <w:r>
        <w:rPr>
          <w:b/>
        </w:rPr>
        <w:t>E. 9</w:t>
      </w:r>
    </w:p>
    <w:p>
      <w:r>
        <w:t>Le recours sera donc admis et la décision entreprise partiellement annulée en ce sens qu’elle rejette l’opposition en tant qu’elle concerne la greffe de cheveux. La recourante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Ainsi l'indemnité allouée sera fixée à CHF 3'500.-. Pour le surplus, la procédure est gratuite (art. 61 let. a LPGA). * * * * * *</w:t>
      </w:r>
    </w:p>
    <w:p>
      <w:r>
        <w:t>A/228/2019 - 18/18 -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