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ATAS/247/2017 vom 28. März 2017</w:t>
      </w:r>
    </w:p>
    <w:p>
      <w:r>
        <w:t>GE Cour de justice, 2017-03-28, FR</w:t>
      </w:r>
    </w:p>
    <w:p>
      <w:r>
        <w:rPr>
          <w:b/>
        </w:rPr>
        <w:t xml:space="preserve">Quelle: </w:t>
      </w:r>
      <w:r>
        <w:t>https://mcp.opencaselaw.ch/entscheid/ge_gerichte_ATAS_247_2017</w:t>
      </w:r>
    </w:p>
    <w:p>
      <w:r>
        <w:t>FR: GE_GERICHTE ATAS/247/2017 du 28 mars 2017</w:t>
      </w:r>
    </w:p>
    <w:p>
      <w:r>
        <w:t>IT: GE_GERICHTE ATAS/247/2017 del 28 marzo 2017</w:t>
      </w:r>
    </w:p>
    <w:p>
      <w:pPr>
        <w:pStyle w:val="Heading2"/>
      </w:pPr>
      <w:r>
        <w:t>Erwägungen</w:t>
      </w:r>
    </w:p>
    <w:p>
      <w:r>
        <w:rPr>
          <w:b/>
        </w:rPr>
        <w:t>E. 14</w:t>
      </w:r>
    </w:p>
    <w:p>
      <w:r>
        <w:t>L’assureur a transmis ce courrier, tel qu’il l’a reçu – à savoir la 1ère page seulement – pour raison de compétence à la chambre des assurances sociales de la Cour de justice le 2 août 2016, puis, intégralement le 17 août 2016, après que l’assurée le lui a ainsi renvoyé le 11 août 2016.</w:t>
      </w:r>
    </w:p>
    <w:p>
      <w:r>
        <w:rPr>
          <w:b/>
        </w:rPr>
        <w:t>E. 15</w:t>
      </w:r>
    </w:p>
    <w:p>
      <w:r>
        <w:t>Par mémoire du 8 septembre 2016, l’assureur a conclu au rejet du recours, en se référant à sa décision sur opposition. La seule question à examiner était de savoir si l’accident du 6 octobre 2015 était responsable des troubles présentés par l’assurée à son épaule droite au-delà du 31 octobre 2015. Il était établi que la pathologie qu’elle présentait existait depuis 2006 et qu’elle n’avait d’abord pas été opérée en</w:t>
      </w:r>
    </w:p>
    <w:p>
      <w:r>
        <w:t>A/2575/2016 - 5/12 - raison d’un rhumatisme psoriasique, puis l’avait été par le Dr E______ en raison d’une rupture transfixiante de la coiffe des rotateurs de l’épaule droite « dégénérative ancienne ». Les motifs exposés par le Dr F______ de ne pas retenir de rapport de causalité au-delà de la fin octobre 2015 étaient clairs et convaincants.</w:t>
      </w:r>
    </w:p>
    <w:p>
      <w:r>
        <w:rPr>
          <w:b/>
        </w:rPr>
        <w:t>E. 16</w:t>
      </w:r>
    </w:p>
    <w:p>
      <w:r>
        <w:t>Cette écriture a été transmise à l’assurée le 12 septembre 2016. Cette dernière n’a pas fait usage de la possibilité qui lui a été accordée à cette occasion de présenter des observations.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est donc donnée en l’espèce, la décision attaquée étant une décision sur opposition d’un assureur-accidents mettant un terme à des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peu élevées, de forme et de contenu prévues par l’art. 61 let. b LPGA (cf. aussi art. 89B LPA). L’assurée a qualité pour recourir (art. 59 LPGA). c. Le recours sera donc déclaré recevable. 2. Le litige porte sur le droit de la recourante à des prestations de la part de l’intimé au-delà du 31 octobre 2015 pour l’accident qu’elle a subi le 6 octobre 2015, étant cependant précisé que l’intimé a renoncé à réclamer le remboursement des prestations qu’il a versées en faveur de la recourante au-delà de cette date. Il doit être tranché au regard de la LAA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a. Pour l’établissement des faits pertinents, il y a lieu d’appliquer les principes ordinaires régissant la procédure en matière d’assurances sociales, à savoir, en</w:t>
      </w:r>
    </w:p>
    <w:p>
      <w:r>
        <w:t>A/2575/2016 - 6/12 -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5b).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t>A/2575/2016 - 7/12 -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w:t>
      </w:r>
    </w:p>
    <w:p>
      <w:r>
        <w:rPr>
          <w:b/>
        </w:rPr>
        <w:t>E. 18</w:t>
      </w:r>
    </w:p>
    <w:p>
      <w:r>
        <w:t>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w:t>
      </w:r>
    </w:p>
    <w:p>
      <w:r>
        <w:t>A/2575/2016 - 8/12 -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125 V 195 consid. 2 ; RAMA 2000 n. U 363 p. 46). e.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5.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w:t>
      </w:r>
    </w:p>
    <w:p>
      <w:r>
        <w:t>A/2575/2016 - 9/12 -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a. En l’espèce, la recourante n’a produit aucun rapport médical à l’appui de son recours, en particulier aucun rapport médical qui infirmerait ou contredirait l’analyse et les conclusions du rapport du médecin-conseil de l’intimé, sur lequel ce dernier s’est fondé pour rendre la décision attaquée. Elle ne conteste par ailleurs pas qu’elle avait des lésions anciennes, mais n’en attribue pas moins à la chute qu’elle a</w:t>
      </w:r>
    </w:p>
    <w:p>
      <w:r>
        <w:t>A/2575/2016 - 10/12 - faite le 6 octobre 2015 dans sa baignoire – représentant un accident – la cause de son atteinte à la santé, à son épaule droite, au-delà du 31 octobre 2015. De surcroît, il n’apparaît pas de contradiction entre les pièces médicales figurant au dossier et le rapporté précité du Dr F______, qui est un spécialiste de la discipline médicale ici pertinente (la chirurgie orthopédique). Aussi la chambre de céans, tenue par la maxime inquisitoire, n’a-t-elle pas de raison d’ordonner des actes d’instruction et, en particulier, d’entendre les ou des médecins ayant examiné la recourante, ni le médecin-conseil de l’intimé. b. Il est établi que le médecin ayant ausculté la recourante le lendemain de l’accident considéré a posé le diagnostic de contusion de l’épaule droite avec limitation de l’abduction et estimé que l’effet sur la capacité de travail n’était que partiel (soit de 50 %) et très temporaire (soit, sous réserve de réexamen de la situation, pour deux semaines). Le médecin généraliste traitant a estimé que la capacité de travail de la recourante était nulle d’abord pour quinze jours supplémentaires, puis encore pour un mois supplémentaire. Le spécialiste auquel il a adressé la recourante, à savoir le Dr E______, a posé le diagnostic de rupture de la coiffe des rotateurs de l’épaule droite, non sans relever qu’il s’agissait d’une atteinte dégénérative dégradée par un traumatisme. Lorsqu’il a estimé, environ un mois plus tard, qu’une opération devait être faite, il a retenu l’indication de rupture transfixiante de la coiffe des rotateurs de l’épaule droite, en notant qu’il s’agissait d’une atteinte dégénérative ancienne. c. Bien qu’un rapport chronologique entre un événement et des atteintes à la santé ne suffise pas à le qualifier de rapport de causalité naturelle et le cas échéant adéquate, il n’apparaît pas contestable, en l’occurrence, que le choc physique qu’a eu la recourante lorsqu’elle a glissé dans sa baignoire le soir du 6 octobre 2015 a contribué à faire ressortir les lésions qu’elle avait déjà antérieurement, depuis des années, et à provoquer ou à tout le moins aviver les douleurs associées à ces lésions en même temps qu’à la contusion. Aussi est-ce à juste titre que l’assureur a accepté de prendre en charge le cas au titre de l’assurance-accidents. Il n’en demeure pas moins qu’en termes de vraisemblance prépondérante, ce choc ne saurait être tenu pour la cause naturelle et adéquate de la rupture transfixiante de la coiffe des rotateurs de l’épaule droite pour laquelle la recourante a été opérée le 30 novembre 2015 par arthroscopie, opération qui était indiquée, en réalité depuis des années, par les troubles dégénératifs anciens dont elle était affectée et pour lesquels, à tort ou à raison, elle n’avait pas encore été opérée en considération d’un rhumatisme psoriasique. Le Dr F______ – qui est spécialiste en la matière de même qu’expert médical certifié, et dont la qualité de médecin-conseil de l’intimé n’amoindrit pas la valeur probante à reconnaître à son rapport – a fourni des explications convaincantes à l’appui de la conclusion qu’au moins quinze jours après ledit choc le statu quo sine</w:t>
      </w:r>
    </w:p>
    <w:p>
      <w:r>
        <w:t>A/2575/2016 - 11/12 - était atteint et qu’en conséquence, il n’y avait plus de rapport de causalité naturelle à retenir entre celui-ci et les atteintes à la santé présentées par la recourante. La chambre de céans ne voit pas de raison d’écarter ces motifs, qu’elle rappelle ci- après : La recourante avait une maladie rhumatismale préexistante, des troubles dégénératifs de la même épaule depuis une dizaine d’années. Une action vulnérante (efforts brusques et/ou contusion) n’était pas propre à entraîner une lésion extensive de la coiffe des rotateurs en l’absence de notions d’abduction brusque contre résistance ou de mouvements extrêmes de l’épaule, voire de déboitement, mais de tels événements étaient susceptibles de réactiver la symptomatologie de troubles dégénératifs préexistants. Le médecin ayant ausculté en premier la recourante, le lendemain de l’accident, avait diagnostiqué une contusion et prescrit un arrêt de travail initial à 50 % pour a priori quinze jours. L’arthroscanner et le compte-rendu opératoire faisaient état de lésions touchant plusieurs tendons de la coiffe des rotateurs, dont certaines étaient antagonistes et donc non susceptibles d’avoir été provoquées simultanément par une action vulnérante simple, mais cette association se retrouvait souvent dans les troubles dégénératifs évoluant sur plusieurs années. Au niveau du sus-épineux, la perte de substance était déjà avancée, avec une rétractation de stade III et un accolement ayant nécessité une ténolyse pour mobiliser le tendon avant de le suturer, ce qui constituait une preuve supplémentaire d’une affection chronique et ancienne. 7. a. Étant mal fondé, le recours sera rejeté. La procédure est gratuite, la recourante n’ayant pas agi de manière téméraire ou témoigné de légèreté (art. 60 let. b LPGA). Vu l’issue donnée au recours, il ne sera pas alloué d’indemnité de procédure à la recourante (art. 60 let. g LPGA), ni à l’intimé.</w:t>
      </w:r>
    </w:p>
    <w:p>
      <w:r>
        <w:t>* * * * * *</w:t>
      </w:r>
    </w:p>
    <w:p>
      <w:r>
        <w:t>A/2575/2016 - 12/12 -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