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ATAS/247/2010 vom 10. März 2010</w:t>
      </w:r>
    </w:p>
    <w:p>
      <w:r>
        <w:t>GE Cour de justice, 2010-03-10, FR</w:t>
      </w:r>
    </w:p>
    <w:p>
      <w:r>
        <w:rPr>
          <w:b/>
        </w:rPr>
        <w:t xml:space="preserve">Quelle: </w:t>
      </w:r>
      <w:r>
        <w:t>https://mcp.opencaselaw.ch/entscheid/ge_gerichte_ATAS_247_2010</w:t>
      </w:r>
    </w:p>
    <w:p>
      <w:r>
        <w:t>FR: GE_GERICHTE ATAS/247/2010 du 10 mars 2010</w:t>
      </w:r>
    </w:p>
    <w:p>
      <w:r>
        <w:t>IT: GE_GERICHTE ATAS/247/2010 del 10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20 novembre 2008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postérieurement au 31 mars 2008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Déposé dans les formes et délai prévus par la loi, le présent recours est recevable (art. 56 à 61 LPGA).</w:t>
      </w:r>
    </w:p>
    <w:p>
      <w:r>
        <w:rPr>
          <w:b/>
        </w:rPr>
        <w:t>E. 4</w:t>
      </w:r>
    </w:p>
    <w:p>
      <w:r>
        <w:t>Le litige porte sur le droit de l’assurée à une rente d’invalidité postérieurement au 31 mars 2008.</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w:t>
      </w:r>
    </w:p>
    <w:p>
      <w:r>
        <w:t>A/4616/2008 - 10/16 -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De plus, en vertu de l’art. 88a al. 1 du Règlement sur l’assurance-invalidité du 17 janvier 1961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Il y a principalement lieu de déterminer si l’état de santé de l’assuré s’est amélioré depuis le 24 janvier 2008.</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b/aa)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w:t>
      </w:r>
    </w:p>
    <w:p>
      <w:r>
        <w:t>A/4616/2008 - 11/16 -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not. arrêt non publié du Tribunal fédéral 9C_369/2008 du 5 mars 2009) b/dd) Le Tribunal fédéral a cependant eu l’occasion d’expliquer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w:t>
      </w:r>
    </w:p>
    <w:p>
      <w:r>
        <w:t>A/4616/2008 - 12/16 - Tribunal fédéral non publiés 9C_701/2007 du 20 juin 2008, consid. 3.3 et 9C_897/2007 du 8 juillet 2008 et les références), il n'a jamais établi, sur la base des critères énoncés précédemment, une hiérarchie entre les divers types d'expertises médicales (cf. arrêt du Tribunal fédéral non publié du 15 septembre 2008, 9C_885/2007, consid. 3.2).</w:t>
      </w:r>
    </w:p>
    <w:p>
      <w:r>
        <w:rPr>
          <w:b/>
        </w:rPr>
        <w:t>E. 9</w:t>
      </w:r>
    </w:p>
    <w:p>
      <w:r>
        <w:t>a/aa) En l’espèce, la décision litigieuse est essentiellement basée sur l’appréciation du Dr D___________, lequel a posé les diagnostics de syndrome polyinsertionnel douloureux récurrent (fibromyalgie), de syndrome de fatigue chronique, de lombo- pygialgies récurrentes sans signe radiculaire irritatif ou déficitaire : sacroiliite sur probable spondylarthropathie séronégative stabilisée sous traitement d’anti-TNF- alpha et périartropathie de hanches des deux côtés (ddc), tous ces diagnostics ayant des répercussions sur la capacité de travail. Il a estimé que l’assuré présentait une capacité de travail de 80% dans l’activité habituelle et de 100% dans une activité adaptée, devant permettre les changements de position assise et debout et d’éviter les mouvements en porte-à-faux avec longs bras de levier et le port de charges répétitif de plus de cinq kilogrammes. a/bb) Il doit être constaté que si le rapport de l’expert du 28 janvier 2008 et son courrier du 30 mars 2009 se fondent sur une anamnèse de l’assurée, sur ses plaintes, son dossier radiologique et sur des examens cliniques, ces documents médicaux comportent, cependant, une motivation déficiente et des incohérences. L’appréciation du cas est tout d’abord très succincte, l’expert ne discutant notamment pas les raisons qui l’amènent à retenir les différents diagnostics posés. Il se dit frappé par la présence de douleurs périarticulaires, qui sont, d’après lui, « probablement » imputables à une fibromyalgie, sans apporter de justification et sans dire pourquoi d’autres atteintes objectives ne permettent pas de les expliquer. Il retient ensuite que les images radiologiques « parlaient en faveur » d’une sacro- iliite, toutefois, il n’explicite pas quelles étaient les conséquences d’une telle affection. Dans son rapport subséquent du 30 mars 2009, il souligne également que le diagnostic de fibromyalgie est un diagnostic d’exclusion, alors même qu’il n’exclut pas la présence d’autres diagnostics tels que la sacroiliite objectivée par le scanner du 15 février 2006 ou la périartropathie des deux hanches. L’expert expose enfin que la capacité de travail de l’assurée est entière dans une activité adaptée, sans port de charges, sans position en porte-à-faux avec longs bras de levier et permettant les changements de position, alors que l’activité habituelle de l’assurée, laquelle consistait à assembler des montres en posant des aiguilles et des quadrants et à contrôler des montres, ne nécessitait ni port de charges ni mouvement en porte-à-faux. Cette conclusion donne l’impression que l’expert n’a pas fait le lien entre l’exposé de son anamnèse et sa conclusion. a/cc) Au vu de ces éléments, le Tribunal de céans estime que l’expertise n’est pas suffisamment claire et motivée pour tirer des conclusions définitives sur l’état de</w:t>
      </w:r>
    </w:p>
    <w:p>
      <w:r>
        <w:t>A/4616/2008 - 13/16 - santé de l’assurée ainsi que sur sa répercussion sur sa capacité de travail. Elle ne saurait ainsi présenter pleine valeur probante au sens où l’entend la jurisprudence. b/aa) Reste cependant à déterminer si l’appréciation du Dr A___________ permet de porter un jugement valable sur le droit litigieux. b/bb) Le Dr A___________ a affirmé, sur la base d’une imagerie médicale de novembre 2005 et d’un scanner de février 2006, que l’assurée souffrait d’une spondylarthrite séronégative avec atteinte sévère des sacro-iliaques. Le scanner avait en effet mis en évidence une sacro-iliite érosive bilatérale évoquant une pelvi- spondylite, de sorte qu’on comprend les raisons qui ont amené ce médecin a retenir le diagnostic susmentionné. Par ailleurs, lors de l’audience de comparution personnelle, il a défini en quelques mots cette affection rhumatismale, expliquant notamment qu’elle conduisait à la destruction de l’articulation elle-même, ce qui était le cas des articulations de l’assurée, lui causant d’importantes douleurs. Il s’est également prononcé sur les déclarations de l’expert concernant la manière dont le scanner avait été effectué ou encore sur la présence de l’antigène HLA-B27 chez l’assurée. Enfin, il a déterminé pour quelle raison le diagnostic de fibromyalgie ne pouvait pas être retenu. c) Au vu de ce qui précède, il est vrai que le Dr A___________ a exprimé son point de vue de manière motivée et qu’il a été convainquant lorsqu’il a exposé l’état de santé de l’assurée au Tribunal de céans, toutefois, il y a lieu de tenir compte qu’il est le rhumatologue traitant de l’assurée, de sorte que ses déclarations sont à prendre avec une certaine retenue, attendu qu'il est enclin, d’après la jurisprudence, en cas de doute, à prendre parti pour son patient. En outre, le Tribunal de céans constate qu’il existe des divergences importantes entre ses constatations objectives et celles de l’expert. D’une part, alors même que ces médecins se sont tous deux basés sur les mêmes examens radiologiques ainsi que sur l’examen personnel de l’assurée, le diagnostic de spondylarthrite séronégative est indubitablement posé par le Dr A___________, mais considéré difficile tant à affirmer qu’à infirmer par l’expert. D’autre part, la présence d’une inflammation a été niée par l’expert et admise par le Dr A___________, de sorte qu’il en découle, pour le premier, que le diagnostic de fibromyalgie doit être posé et, pour le second, qu’il doit être exclu. En outre, on ne connait pas l’influence exacte du traitement d’anti-TNF alpha sur l’état de santé de l’assurée, attendu que l’expert a estimé que la médication prise avait amendé l’inflammation, alors que le Dr A___________ a expliqué que ce traitement avait bloqué l’évolution de la maladie, sans toutefois parler de son effet anti-inflammatoire. Leurs appréciations divergent ainsi concernant la présence tant de la spondylarthrite séronégative que de l’inflammation des articulations l’assurée, éléments objectifs sur lesquels les médecins devraient avoir des visions concordantes.</w:t>
      </w:r>
    </w:p>
    <w:p>
      <w:r>
        <w:t>A/4616/2008 - 14/16 - d) Au vu de ces positions opposées et du fait qu’il y a lieu de tenir compte que le médecin traitant, est enclin, d’après la jurisprudence, à prendre parti pour son patient, le Tribunal de céans ne saurait statuer de manière définitive sur l’état de santé de l’assurée. La cause n’étant pas en l’état d’être jugée, une expertise sera dès lors ordonnée. Il doit être précisé que le diagnostic de fibromyalgie a été retenu par l’expert et que, conformément à la jurisprudence, outre l’appréciation d’un rhumatologue, une expertise psychiatrique est, en principe, nécessaire quand il s'agit de se prononcer sur l'incapacité de travail que la fibromyalgie est susceptible d'entraîner (ATF 132 V 65 consid. 4.3 et les références). En l’espèce, dans l’hypothèse où le médecin rhumatologue mandaté devait retenir un tel diagnostic, nul n’est besoin de requérir qu’un psychiatre se prononce sur l’état de santé psychique de l’assurée. En effet, un examen psychiatrique a déjà été effectué par un médecin du SMR, lequel exclut très clairement toute atteinte psychique et il ne ressort du reste pas du dossier que l’assurée se soit plainte de troubles psychiques. Par conséquent, seule une expertise rhumatologique sera ordonnée, laquelle sera confiée à la Doctoresse Corinne G__________, spécialiste FMH en rhumatologie, lequel devra prendre tous renseignements nécessaires auprès des médecins ayant examiné l’assurée par le passé et effectuer tout examen utile à l’appréciation de son état de santé.</w:t>
      </w:r>
    </w:p>
    <w:p>
      <w:r>
        <w:t>A/4616/2008 - 15/16 -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