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ATAS/245/2009 vom 26. Mai 2008</w:t>
      </w:r>
    </w:p>
    <w:p>
      <w:r>
        <w:t>GE Cour de justice, 2008-05-26, FR</w:t>
      </w:r>
    </w:p>
    <w:p>
      <w:r>
        <w:rPr>
          <w:b/>
        </w:rPr>
        <w:t xml:space="preserve">Quelle: </w:t>
      </w:r>
      <w:r>
        <w:t>https://mcp.opencaselaw.ch/entscheid/ge_gerichte_ATAS_245_2009</w:t>
      </w:r>
    </w:p>
    <w:p>
      <w:r>
        <w:t>FR: GE_GERICHTE ATAS/245/2009 du 26 mai 2008</w:t>
      </w:r>
    </w:p>
    <w:p>
      <w:r>
        <w:t>IT: GE_GERICHTE ATAS/245/2009 del 26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3 décembre 1999, d’autre part le 5 juillet 2008, date à laquelle le jugement de divorce est devenu exécutoire.</w:t>
      </w:r>
    </w:p>
    <w:p>
      <w:r>
        <w:rPr>
          <w:b/>
        </w:rPr>
        <w:t>E. 4</w:t>
      </w:r>
    </w:p>
    <w:p>
      <w:r>
        <w:t>Selon les documents produits, la prestation acquise pendant le mariage par le demandeur est de 85'266 fr. 40 (soit 79’285 fr. 05 + 5'981 fr. 35) tandis que celle acquise par la demanderesse est de 23’801 fr., les intérêts ayant déjà été calculés par les institutions de prévoyance défenderesses. Ainsi le demandeur doit à son ex- épouse le montant de 42’633 fr. 20 (85'266 fr. 40 : 2) et celle-ci doit à celui-là le montant de 11'900 fr. 50 (23’801 fr. : 2), de sorte que c’est M. A_________ qui doit à son ex-épouse le montant de 30’732 fr. 70.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A/3812/2008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A/3812/2008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