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ATAS/244/2017 vom 27. März 2017</w:t>
      </w:r>
    </w:p>
    <w:p>
      <w:r>
        <w:t>GE Cour de justice, 2017-03-27, FR</w:t>
      </w:r>
    </w:p>
    <w:p>
      <w:r>
        <w:rPr>
          <w:b/>
        </w:rPr>
        <w:t xml:space="preserve">Quelle: </w:t>
      </w:r>
      <w:r>
        <w:t>https://mcp.opencaselaw.ch/entscheid/ge_gerichte_ATAS_244_2017</w:t>
      </w:r>
    </w:p>
    <w:p>
      <w:r>
        <w:t>FR: GE_GERICHTE ATAS/244/2017 du 27 mars 2017</w:t>
      </w:r>
    </w:p>
    <w:p>
      <w:r>
        <w:t>IT: GE_GERICHTE ATAS/244/2017 del 27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 l’intimé d’entrer en matière sur la nouvelle demande de prestations du recourant.</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w:t>
      </w:r>
    </w:p>
    <w:p>
      <w:r>
        <w:t>A/3963/2016 - 8/10 -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a. En l’occurrence, le recourant a déposé le 8 décembre 2014 une première demande de prestations d’invalidité en raison de douleurs lombaires ; le Dr B______ a attesté le 5 février 2015 de diagnostics de maladie de Ledderhose et de sciatalgies L5-S1 gauche déclenchées par les positions au travail (position courbée en avant et port d’une imprimante) ; l’incapacité de travail antérieure à la première décision de l’OAI du 9 juin 2015 du recourant a été totale du 5 au 23 novembre 2014, puis à 50 % du 24 au 8 décembre 2014 et à nouveau totale du 20 janvier au 15 mars 2015 en raison d’une intervention chirurgicale orthopédique pratiquée par le Dr C______. Le recourant a repris son activité professionnelle à 100 % dès le 16 mars 2015 sous réserve d’une nouvelle incapacité de travail totale du 19 au 27 mars 2015, attestée par le Dr B______.</w:t>
      </w:r>
    </w:p>
    <w:p>
      <w:r>
        <w:t>A/3963/2016 - 9/10 - À l’occasion de sa seconde demande de prestations du 9 novembre 2015, le recourant a fait état d’une nouvelle incapacité de travail totale depuis le 4 septembre 2015, certifiée par les Dresses D______ et E______ ; celle-ci a attesté le 2 décembre 2015 de diagnostic psychiatrique (trouble de l’adaptation avec réaction mixte, anxieuse et dépressive dans le contexte de difficultés professionnelles) et souligné le fait qu’une reprise de l’activité professionnelle n’était pas à recommander ; quant à la Dresse D______, elle a indiqué le 24 janvier 2016, dans un rapport à la Generali, transmis à l’OAI, que la reprise de travail dans le poste actuel n’était pas possible, même à temps partiel en raison d’un trouble de l’adaptation avec réactions anxio-dépressives ; le 29 avril 2016, le recourant a confirmé au téléphone à l’OAI qu’il ne supportait plus son travail ; enfin, le Dr B______ a précisé le 7 juin 2016 que l’activité professionnelle du recourant générait une importante anxiété, qu’il était totalement incapable de travailler comme agent de stationnement et qu’une reconversion professionnelle était nécessaire. b. Les éléments médicaux précités ont tous été portés à la connaissance de l’intimé antérieurement à la date de la décision litigieuse, le 19 octobre 2016 et il convient en conséquence d’en tenir compte dans le cadre de l’appréciation du bien-fondé du refus d’entrer en matière de l’intimé ; en revanche, la chambre de céans ne saurait, dans le cadre de cette appréciation, prendre en considération les documents médicaux subséquents ou qui ont été communiqués à l’intimé après le 19 octobre 2016, soit en l’occurrence, la décision du médecin-conseil de l’employeur résumé dans le courrier du 4 juillet 2016 de celui-ci et l’avis du Dr H______ du 11 novembre 2016. c. Au vu des avis médicaux précités des Drs D______, B______ et E______, il convient d’admettre que le recourant a rendu plausible une modification de son invalidité par la survenance d’un trouble psychique totalement incapacitant dans l’ancienne activité d’agent de contrôle du stationnement depuis le 4 septembre 2015, alors qu’au jour de la première décision de l’intimé, le 9 juin 2015, le recourant avait présenté des troubles somatiques qui s’étaient amendés suite, notamment, à l’intervention chirurgicale pratiquée par le Dr C______ et qui avaient permis une reprise de l’activité professionnelle à 100 % dès le 28 mars 2015.</w:t>
      </w:r>
    </w:p>
    <w:p>
      <w:r>
        <w:rPr>
          <w:b/>
        </w:rPr>
        <w:t>E. 6</w:t>
      </w:r>
    </w:p>
    <w:p>
      <w:r>
        <w:t>Au vu de ce qui précède, le recours sera admis - le recourant ayant pris des conclusions subsidiaires dans le sens du renvoi du dossier à l’intimé - et la décision litigieuse annulée. La cause sera renvoyée à l’intimé pour qu’il entre en matière sur la nouvelle demande de prestations.</w:t>
      </w:r>
    </w:p>
    <w:p>
      <w:r>
        <w:rPr>
          <w:b/>
        </w:rPr>
        <w:t>E. 7</w:t>
      </w:r>
    </w:p>
    <w:p>
      <w:r>
        <w:t>Vu l’issue du litige, un émolument de CHF 200.- sera mis à la charge de l’intimé et une indemnité de CHF 1'500.- sera allouée au recourante, à charge de l’intimé.</w:t>
      </w:r>
    </w:p>
    <w:p>
      <w:r>
        <w:t>A/3963/2016 - 10/10 -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