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ATAS/244/2013 vom 7. März 2013</w:t>
      </w:r>
    </w:p>
    <w:p>
      <w:r>
        <w:t>GE Cour de justice, 2013-03-07, FR</w:t>
      </w:r>
    </w:p>
    <w:p>
      <w:r>
        <w:rPr>
          <w:b/>
        </w:rPr>
        <w:t xml:space="preserve">Quelle: </w:t>
      </w:r>
      <w:r>
        <w:t>https://mcp.opencaselaw.ch/entscheid/ge_gerichte_ATAS_244_2013</w:t>
      </w:r>
    </w:p>
    <w:p>
      <w:r>
        <w:t>FR: GE_GERICHTE ATAS/244/2013 du 7 mars 2013</w:t>
      </w:r>
    </w:p>
    <w:p>
      <w:r>
        <w:t>IT: GE_GERICHTE ATAS/244/2013 del 7 marzo 2013</w:t>
      </w:r>
    </w:p>
    <w:p>
      <w:pPr>
        <w:pStyle w:val="Heading2"/>
      </w:pPr>
      <w:r>
        <w:t>Erwägungen</w:t>
      </w:r>
    </w:p>
    <w:p>
      <w:r>
        <w:rPr>
          <w:b/>
        </w:rPr>
        <w:t>E. 1</w:t>
      </w:r>
    </w:p>
    <w:p>
      <w:r>
        <w:t>Conformément à l'art. 134 al. 1 let. a ch. 5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A/1489/2012 - 7/13 - La compétence de la Cour de céans pour juger du cas d’espèce est ainsi établie.</w:t>
      </w:r>
    </w:p>
    <w:p>
      <w:r>
        <w:rPr>
          <w:b/>
        </w:rPr>
        <w:t>E. 2</w:t>
      </w:r>
    </w:p>
    <w:p>
      <w:r>
        <w:t>Les dispositions de la LPGA s'appliquent à l'assurance-accidents, à moins que la LAA n'y déroge expressément (art. 1 al. 1 LAA).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recours, interjeté dans les forme et délai prescrits par la loi, est recevable (art. 56 ss LPGA).</w:t>
      </w:r>
    </w:p>
    <w:p>
      <w:r>
        <w:rPr>
          <w:b/>
        </w:rPr>
        <w:t>E. 4</w:t>
      </w:r>
    </w:p>
    <w:p>
      <w:r>
        <w:t>Le litige porte sur le point de savoir si c'est à bon droit que l'intimée a mis un terme à ses prestations le 8 septembre 2010, plus précisément sur la question de savoir si l’existence d'un lien de causalité entre les troubles du genou gauche ayant subsisté après cette date et l'accident du 11 juillet 2010 peut être admise. Le fait que le recourant ait été victime d’une lésion assimilée à un accident lors de l'événement du 11 juillet 2010 n'est en revanche pas litigieux.</w:t>
      </w:r>
    </w:p>
    <w:p>
      <w:r>
        <w:rPr>
          <w:b/>
        </w:rPr>
        <w:t>E. 5</w:t>
      </w:r>
    </w:p>
    <w:p>
      <w:r>
        <w:t>L'assurance-accidents est en principe tenue d'allouer ses prestations en cas d'accident professionnel ou non professionnel en vertu de l’art. 6 al. 1 LAA. 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6</w:t>
      </w:r>
    </w:p>
    <w:p>
      <w:r>
        <w:t>Le droit aux prestations suppose notamment un lien de causalité naturelle entre l'événement dommageable de caractère accidentel et l'atteinte à la santé. Cette</w:t>
      </w:r>
    </w:p>
    <w:p>
      <w:r>
        <w:t>A/1489/2012 - 8/13 -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ATFA non publié U 239/05 du 31 mai 2006, consid. 2.1). Par ailleurs,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w:t>
      </w:r>
    </w:p>
    <w:p>
      <w:r>
        <w:rPr>
          <w:b/>
        </w:rPr>
        <w:t>E. 7</w:t>
      </w:r>
    </w:p>
    <w:p>
      <w:r>
        <w:t>L'art. 36 LAA régit la responsabilité de l’assureur-accidents en cas de concours de diverses causes de dommages. Selon l’alinéa premier de cet article, les prestations pour soins, les remboursements de frais ainsi que les indemnités journalières et les allocations pour impotent ne sont pas réduits lorsque l’atteinte à la santé n’est que partiellement imputable à l’accident. Cette disposition rompt partiellement avec le principe d'une assurance causale en faveur d'une assurance finale, c'est-à-dire d'une assurance appelée à verser des prestations indépendamment de l'origine de l'événement assuré. Son application ne suppose pas que le facteur étranger à l'accident et l'événement non assuré aient causé ensemble un dommage. L'art. 36 LAA n'est en revanche pas applicable lorsque les deux facteurs ont causé des lésions sans corrélation entre elles, par exemple des atteintes portées à des parties différentes du corps (Jean-Maurice</w:t>
      </w:r>
    </w:p>
    <w:p>
      <w:r>
        <w:t>A/1489/2012 - 9/13 - FRÉSARD/Margrit MOSER-SZELESS, L'assurance-accidents obligatoire, in: Soziale Sicherheit, SBVR, 2007, pp. 929-930 nn. 287 et 290). En cas d'atteinte maladive préexistante aggravée par un accident, le devoir de l'assureur-accidents d'allouer des prestations cesse lorsque l'état de santé de l'assuré est similaire à celui qui existait immédiatement avant l'accident (statu quo ante) ou s'il est parvenu au stade d'évolution qu'il aurait atteint sans l'accident (statu quo sine; RAMA 1992 n° U 142 p. 75 consid. 4b). La disparition du caractère causal de l'accident eu égard à l'atteinte à la santé de l'assuré doit être établie au degré habituel de la vraisemblance prépondérante. La simple possibilité que l'accident n'ait plus d'effet causal ne suffit pas. Dès lors qu'il s'agit dans ce contexte de la suppression du droit à des prestations, le fardeau de la preuve n'appartient pas à l'assuré mais à l'assureur (RAMA 1994 n° U 206 p. 328 consid. 3b; ATFA non publié U 270/00du 31 janvier 2001, consid. 2b). Si l'atteinte à la santé est seulement déclenchée, mais pas provoquée par l'accident, l'assurance-accidents prend en charge le syndrome douloureux lié à l'événement accidentel (ATFA non publié U 149/99 du 7 février 2000, consid. 3).</w:t>
      </w:r>
    </w:p>
    <w:p>
      <w:r>
        <w:rPr>
          <w:b/>
        </w:rPr>
        <w:t>E. 8</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w:t>
      </w:r>
    </w:p>
    <w:p>
      <w:r>
        <w:t>A/1489/2012 - 10/13 -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9</w:t>
      </w:r>
    </w:p>
    <w:p>
      <w:r>
        <w:t>En l’espèce, la décision dont est recours se fonde sur l’avis du Dr P__________. Du point de vue formel, cet avis ne satisfait pas aux exigences dégagées par le Tribunal fédéral en matière de valeur probante des rapports médicaux. Il consiste en effet en quelques lignes rapportées par un collaborateur de l’intimée et sa motivation n’est guère suffisante. Le médecin-conseil de l’intimée se contente de relever l’aspect dégénératif qui apparaît sur les clichés de l’arthroscopie réalisée par le Dr O__________. Or, la présence de phénomènes dégénératifs du genou gauche ne suffit nullement à nier l’existence d’une atteinte traumatique causée par l’accident de juillet 2010. En effet, l’IRM réalisée en août 2010 a notamment mis en évidence une déchirure oblique du corps du ménisque externe et le rapport du radiologue ne permet pas de conclure à l’origine dégénérative de cette lésion. L’intervention pratiquée par le Dr O__________, dont la prise en charge est litigieuse, avait en outre précisément pour but le traitement de cette lésion. Par surabondance, on ajoutera que même si la déchirure du ménisque décelée par le Dr Q__________ était exclusivement d’origine dégénérative, il n’est pas exclu qu’elle ait pu être décompensée par l’accident de juillet 2010, auquel cas, le</w:t>
      </w:r>
    </w:p>
    <w:p>
      <w:r>
        <w:t>A/1489/2012 - 11/13 - traitement serait de toute façon à la charge de l’intimée, conformément à la jurisprudence rappelée ci-dessus. Quant à l’argument de l’intimée qui soutient par ailleurs qu’il ressort du rapport de son inspectrice du 29 avril 2011 que le recourant aurait toujours souffert de douleurs, qui se seraient amplifiées avec le temps, il ne peut qu’être écarté car cette allégation repose sur une lecture erronée dudit rapport. En effet, l’inspectrice a au contraire noté que, depuis l’arthroscopie réalisée en 2002 et jusqu’à l’accident de juillet 2010, le recourant n’avait pas ressenti de douleurs au genou gauche. L’intimée ne peut pas non plus se prévaloir du fait qu’aucun médecin n’a établi de lien de causalité entre les troubles du genou postérieurs au 8 septembre 2010 dans la mesure où elle n’a pas interrogé les médecins traitants sur ce point - alors qu'il lui appartenait de le faire en vertu de son obligation d’instruire la demande d’office ancrée à l’art. 43 al. 1 première phrase LPGA (qui dispose que l’assureur examine les demandes, prend d’office les mesures d’instruction nécessaires et recueille les renseignements dont il a besoin). D’autant que le Dr O__________ semble précisément admettre l’origine accidentelle de l’atteinte puisqu’il signale dans son rapport du 23 décembre 2010 que l’incapacité de travail est consécutive à l’accident. L'intimée aurait donc dû éclaircir ce point.</w:t>
      </w:r>
    </w:p>
    <w:p>
      <w:r>
        <w:rPr>
          <w:b/>
        </w:rPr>
        <w:t>E. 10</w:t>
      </w:r>
    </w:p>
    <w:p>
      <w:r>
        <w:t>Compte tenu de ce qui précède, la Cour de céans constate que les documents médicaux à sa disposition ne suffisent pas à établir ou à exclure au degré requis de la vraisemblance prépondérante un lien de causalité entre l’accident du 11 juillet 2010 et les troubles du genou gauche ayant persisté au-delà du 8 septembre 2010. Le juge cantonal qui estime que les faits ne sont pas suffisamment élucidés a en principe le choix entre deux solutions: soit renvoyer la cause à l'administration pour complément d'instruction, soit procéder lui-même à une telle instruction complémentaire (ATFA non publié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(cf. RAMA 1986 n° K 665 p. 87). En l’espèce, cette deuxième solution s’impose dès lors que l’intimée n’a pas procédé aux mesures d’instruction nécessaires. Partant, il convient de renvoyer la cause à l’intimée afin que celle-ci complète l'instruction en interrogeant notamment le Dr O__________ et en faisant procéder à</w:t>
      </w:r>
    </w:p>
    <w:p>
      <w:r>
        <w:t>A/1489/2012 - 12/13 - un examen approfondi du dossier par un spécialiste en chirurgie orthopédique, puis statue une nouvelle fois sur la base d’un rapport médical conforme aux réquisits jurisprudentiels en la matière.</w:t>
      </w:r>
    </w:p>
    <w:p>
      <w:r>
        <w:rPr>
          <w:b/>
        </w:rPr>
        <w:t>E. 11</w:t>
      </w:r>
    </w:p>
    <w:p>
      <w:r>
        <w:t>Eu égard à ce qui précède, le recours est partiellement admis. Le recourant a droit à des dépens, qu’il convient de fixer à 2'000 fr. (art. 61 let. g LPGA). Pour le surplus, la procédure est gratuite.</w:t>
      </w:r>
    </w:p>
    <w:p>
      <w:r>
        <w:t>A/1489/2012 - 13/13 -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