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ATAS/244/2003 vom 25. November 2003</w:t>
      </w:r>
    </w:p>
    <w:p>
      <w:r>
        <w:t>GE Cour de justice, 2003-11-25, FR</w:t>
      </w:r>
    </w:p>
    <w:p>
      <w:r>
        <w:rPr>
          <w:b/>
        </w:rPr>
        <w:t xml:space="preserve">Quelle: </w:t>
      </w:r>
      <w:r>
        <w:t>https://mcp.opencaselaw.ch/entscheid/ge_gerichte_ATAS_244_2003</w:t>
      </w:r>
    </w:p>
    <w:p>
      <w:r>
        <w:t>FR: GE_GERICHTE ATAS/244/2003 du 25 novembre 2003</w:t>
      </w:r>
    </w:p>
    <w:p>
      <w:r>
        <w:t>IT: GE_GERICHTE ATAS/244/2003 del 25 novembre 2003</w:t>
      </w:r>
    </w:p>
    <w:p>
      <w:pPr>
        <w:pStyle w:val="Heading2"/>
      </w:pPr>
      <w:r>
        <w:t>Erwägungen</w:t>
      </w:r>
    </w:p>
    <w:p>
      <w:r>
        <w:rPr>
          <w:b/>
        </w:rPr>
        <w:t>E. 1</w:t>
      </w:r>
    </w:p>
    <w:p>
      <w:r>
        <w:t>La loi genevoise sur l’organisation judiciaire du 22 novembre 1941 (ci-après : LOJ : E 2 05). a été modifiée et un Tribunal cantonal des assurances sociales a été institué dès le 1er août 2003 Conformément à l'article 3 alinéa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litige(cf. article 1 lettre r et 56 V LOJ).</w:t>
      </w:r>
    </w:p>
    <w:p>
      <w:r>
        <w:rPr>
          <w:b/>
        </w:rPr>
        <w:t>E. 2</w:t>
      </w:r>
    </w:p>
    <w:p>
      <w:r>
        <w:t>La loi fédérale sur la partie générale du droit des assurances sociales du 6 octobre 2000 (LPGA ; RS 830.1) est entrée en vigueur le 1er janvier 2003, entraînant de nombreuses modifications dans le domaine de l’assurance- 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loi fédérale sur l’assurance-invalidité (ci-après : LAI ; RS 831.20) et de son règlement en vigueur jusqu’au 31 décembre 2002.</w:t>
      </w:r>
    </w:p>
    <w:p>
      <w:r>
        <w:rPr>
          <w:b/>
        </w:rPr>
        <w:t>E. 3</w:t>
      </w:r>
    </w:p>
    <w:p>
      <w:r>
        <w:t>Déposé dans les formes et délai imposés par la loi, le présent recours est recevable à la forme, en vertu des articles 69 LAI, dans son ancienne teneur et 84 de la loi fédérale sur l’assurance-vieillesse et survivants (ci-après LAVS ; RS 831.10).</w:t>
      </w:r>
    </w:p>
    <w:p>
      <w:r>
        <w:rPr>
          <w:b/>
        </w:rPr>
        <w:t>E. 4</w:t>
      </w:r>
    </w:p>
    <w:p>
      <w:r>
        <w:t>Selon l’article 4 alinéa 1er LAI, « l’invalidité au sens de la présente loi est la diminution de la capacité de gain, présumée ou de longue durée, qui résulte d’une atteinte à la santé physique, ou mentale provenant d’une infirmité congénitale, d’une maladie ou d’un accident ». L’alinéa 2 précise que « l’invalidité est réputée survenue dès qu’elle est, par sa nature et sa gravité, propre à ouvrir droit aux prestations entrant en considération ». Le droit à la rente est déterminé par l’article 28 alinéa 1er LAI qui dispose que « l’assuré a droit à une rente s’il est invalide à 40 pour cent au moins. La rente est échelonnée comme il suit, selon le degré d’invalidité :</w:t>
      </w:r>
    </w:p>
    <w:p>
      <w:r>
        <w:t>- 6/9-</w:t>
      </w:r>
    </w:p>
    <w:p>
      <w:r>
        <w:t>A/1628/2002 Degré de l’invalidité Droit à la rente en fraction d’une rente entière 40 pour cent au moins un quart 50 pour cent au moins une demie 66 2/3 pour cent au moins rente entière</w:t>
      </w:r>
    </w:p>
    <w:p>
      <w:r>
        <w:t>Selon l’alinéa 2 du même article,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L’article 27 alinéa 1er du Règlement sur l’assurance-invalidité (RAI – RS 831.201) prévoit que l’invalidité des assurés qui n’exercent pas d’activité lucrative est évaluée en fonction de l’empêchement d’accomplir leurs travaux habituels, c’est à dire l’activité usuelle dans le ménage et l’éducation des enfants. Enfin, selon l’article 27bis RAI, « lorsque les assurés n’exercent une activité lucrative qu’à temps partiel ou apportent une collaboration non rémunérée à l’entreprise de leur conjoint, l’invalidité pour cette part est évaluée selon l’art. 28, al. 2, LAI. S’ils se consacrent en outre à leurs travaux habituels au sens de l’art. 5, al. 1, LAI,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w:t>
      </w:r>
    </w:p>
    <w:p>
      <w:r>
        <w:rPr>
          <w:b/>
        </w:rPr>
        <w:t>E. 5</w:t>
      </w:r>
    </w:p>
    <w:p>
      <w:r>
        <w:t>En l’espèce, la recourante travaillait à raison de 5 heures par jour en tant que ménagère avant la survenance de ses problèmes de dos. Elle était employée à 50% et disposait du reste de son temps pour accomplir ses travaux habituels, de sorte qu’il y a lieu de faire application de la méthode mixte. L’assurée estime que l’OCAI n’a pas recueilli suffisamment d’informations pour se prononcer sur son cas en toute connaissance de cause, son handicap l’empêchant d’exercer sa profession de nettoyeuse. S’agissant de l’établissement des faits, la jurisprudence a précisé que « l’autorité administrative doit constater d’office les faits déterminants, c’est-à-dire les circonstances dont dépend l’application de règles de droit » (ATF 117 V 261).</w:t>
      </w:r>
    </w:p>
    <w:p>
      <w:r>
        <w:t>- 7/9-</w:t>
      </w:r>
    </w:p>
    <w:p>
      <w:r>
        <w:t>A/1628/2002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En l’espèce, l’OCAI a commencé par prendre ses renseignements auprès des médecins que l’assurée avait décidé de consulter, principalement la Dresse N__________ concernant ses problèmes de dos. A noter ici que les certificats médicaux des Dresses L__________ et M__________ remis à l’OCAI par la recourante ne seront pas pris en compte dans l’examen de son degré d’invalidité, en tant qu’ils concernent des problèmes d’hémorroïdes et de varices n’ayant aucun effet sur sa capacité de gain ou son aptitude à effectuer ses travaux habituels. Dans le rapport médical AI du 19 novembre 2001, la Dresse N__________ a conclu que des cervico-brachialgies chroniques avaient des répercussions sur la capacité de travail de l’assurée depuis environ un an, mais que ce n’était pas le cas pour les quelques lombalgies intermittentes ressenties par la patiente. Mis à part une brève incapacité de travail inférieure à un mois, la capacité de travail de la patiente était jugée pleine et entière et il était indiqué qu’elle ne désirait ni physiothérapie, ni traitement allopathique, mais n’accepterait que la gemmothérapie et l’homéopathie. Le dossier médical de la recourante contient également des rapports du Dr O__________, qui démontrent qu’il existe effectivement des troubles statiques du rachis cervical, ainsi qu’une discarthrose. A la lecture de ce dossier, le médecin-conseil de l’OCAI, le Dr P__________, a pris contact avec la Dresse N__________ pour éclaircir certains points. Selon la Dresse N__________, les plaintes sont importantes, mais la palpation de la colonne cervicale est indolore, ce qui lui fait diagnostiquer un syndrome cervical léger à moyen. Il n’y aurait pas de handicap notable dans le ménage, hormis les gros travaux occasionnels. Le Dr P__________ conclut donc à une incapacité de travail très temporaire pour son travail de nettoyeuse et très faible dans son ménage (moins de 10%). Il n’existe aucun document ou élément dans le dossier qui pourrait laisser planer un doute quant à l’exactitude des conclusions des médecins ayant examiné le cas de la recourante.</w:t>
      </w:r>
    </w:p>
    <w:p>
      <w:r>
        <w:t>- 8/9-</w:t>
      </w:r>
    </w:p>
    <w:p>
      <w:r>
        <w:t>A/1628/2002 La recourante elle-même n’a jamais mis en cause les déclarations de son propre médecin, qui ont été réitérées par écrit dans le cadre de la procédure de recours. En conséquence, s’agissant de l’évaluation du degré d’invalidité, l’OCAI n’était pas contrainte de récolter des informations complémentaires ou de réaliser une enquête ménagère, dans la mesure où les médecins consultés affirment de concert qu’il n’existe qu’un empêchement très faible dans le ménage. Vu l’empêchement très faible dans le ménage et un empêchement de travailler qui a été temporaire puisqu’il n’a duré qu’un mois, il n’y a pas d’invalidité au sens de la loi, ainsi qu’on l’a vu ci-dessus.</w:t>
      </w:r>
    </w:p>
    <w:p>
      <w:r>
        <w:rPr>
          <w:b/>
        </w:rPr>
        <w:t>E. 6</w:t>
      </w:r>
    </w:p>
    <w:p>
      <w:r>
        <w:t>En conséquence, au vu de ce qui précède, c’est à juste titre que l’OCAI n’a pas procédé à des investigations complémentaires et refusé la demande de rente de la recourante, de sorte que le recours sera rejeté.</w:t>
      </w:r>
    </w:p>
    <w:p>
      <w:r>
        <w:rPr>
          <w:b/>
        </w:rPr>
        <w:t>E. 7</w:t>
      </w:r>
    </w:p>
    <w:p>
      <w:r>
        <w:t>Une aggravation de l’état de santé de l’assurée à l’avenir avec des conséquences défavorables sur la capacité de gain ou un empêchement plus important de réaliser ses travaux habituels reste bien entendu réservée, mais ne saurait entrer en cause ici. La décision ne peut prendre en compte que l’état de fait existant au moment où elle a été rendue. Une demande de révision pourra être déposée, dans l’hypothèse où l’état de fait s’est modifié après coup de façon notable, de manière à influencer le droit à le rente, et que la recourante rend vraisemblable cette aggravation.</w:t>
      </w:r>
    </w:p>
    <w:p>
      <w:r>
        <w:rPr>
          <w:b/>
        </w:rPr>
        <w:t>E. 8</w:t>
      </w:r>
    </w:p>
    <w:p>
      <w:r>
        <w:t>La procédure est gratuite, en ce sens qu’il n’est pas perçu d’émolument.</w:t>
      </w:r>
    </w:p>
    <w:p>
      <w:r>
        <w:t>* * *</w:t>
      </w:r>
    </w:p>
    <w:p>
      <w:r>
        <w:t>- 9/9-</w:t>
      </w:r>
    </w:p>
    <w:p>
      <w:r>
        <w:t>A/1628/2002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