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ATAS/243/2022 vom 17. März 2022</w:t>
      </w:r>
    </w:p>
    <w:p>
      <w:r>
        <w:t>GE Cour de justice, 2022-03-17, FR</w:t>
      </w:r>
    </w:p>
    <w:p>
      <w:r>
        <w:rPr>
          <w:b/>
        </w:rPr>
        <w:t xml:space="preserve">Quelle: </w:t>
      </w:r>
      <w:r>
        <w:t>https://mcp.opencaselaw.ch/entscheid/ge_gerichte_ATAS_243_2022</w:t>
      </w:r>
    </w:p>
    <w:p>
      <w:r>
        <w:t>FR: GE_GERICHTE ATAS/243/2022 du 17 mars 2022</w:t>
      </w:r>
    </w:p>
    <w:p>
      <w:r>
        <w:t>IT: GE_GERICHTE ATAS/243/2022 del 17 marzo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56ss LPGA; art. 62ss de la loi sur la procédure administrative du 12 septembre 1985 [LPA - E 5 10]).</w:t>
      </w:r>
    </w:p>
    <w:p>
      <w:r>
        <w:rPr>
          <w:b/>
        </w:rPr>
        <w:t>E. 3</w:t>
      </w:r>
    </w:p>
    <w:p>
      <w:r>
        <w:t>Est litigieuse la question de l’aptitude au placement de la recourante dès le</w:t>
      </w:r>
    </w:p>
    <w:p>
      <w:r>
        <w:rPr>
          <w:b/>
        </w:rPr>
        <w:t>E. 7</w:t>
      </w:r>
    </w:p>
    <w:p>
      <w:r>
        <w:t>octobre 2020, date de son inscription au chômage. 4.</w:t>
      </w:r>
    </w:p>
    <w:p>
      <w:r>
        <w:t>4.1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4.2 L’art. 12 LACI dispose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Pour avoir droit à l’indemnité de chômage, un assuré doit donc être domicilié en Suisse et notamment y résider physiquement (sous réserve du cas particulier des chômeurs bénéficiant, durant trois mois au maximum, de l’exportation des prestations depuis la Suisse en cas de séjour dans un pays membre de l’UE/AELE en vue d’y rechercher un emploi [cf. art. 64 du Règlement (CE) n°883/2004 du Parlement européen et du Conseil du 29 avril 2004 portant sur la coordination des systèmes de sécurité sociale – RS 0.831.109.268.1]). L’assuré doit remplir la condition de la résidence en Suisse non seulement au début du chômage, mais également durant toute la période d’indemnisation (arrêt du Tribunal fédéral des assurances C 149/01 du 13 mars 2002 consid. 2). Par ailleurs, il découle de l’art. 12 LACI que seules les autorisations de séjour habilitant leur titulaire à exercer une activité lucrative permettent de considérer qu’un chômeur est domicilié en Suisse et a en</w:t>
      </w:r>
    </w:p>
    <w:p>
      <w:r>
        <w:t>A/1496/2021 - 6/15 - principe droit à l’indemnité de chômage s’il remplit toutes les autres conditions du droit. Le type d’autorisation de séjour, en particulier le but du séjour, est dès lors déterminant (DTA 2002 p. 46 ; arrêt du Tribunal fédéral 8C_479/2011 du</w:t>
      </w:r>
    </w:p>
    <w:p>
      <w:r>
        <w:rPr>
          <w:b/>
        </w:rPr>
        <w:t>E. 7.1</w:t>
      </w:r>
    </w:p>
    <w:p>
      <w:r>
        <w:t>La recourante soutient encore que si elle n’a déposé sa demande de séjour avec activité lucrative qu’à la fin décembre 2020, c’est parce que la caisse de chômage UNIA et l’OCAS lui ont indiqué qu’avec sa carte de légitimation, elle pouvait prétendre des indemnités de chômage. Ce faisant, elle invoque implicitement le droit à la protection de sa bonne foi.</w:t>
      </w:r>
    </w:p>
    <w:p>
      <w:r>
        <w:rPr>
          <w:b/>
        </w:rPr>
        <w:t>E. 7.2</w:t>
      </w:r>
    </w:p>
    <w:p>
      <w:r>
        <w:t>L'art. 5 al. 3 de la Constitution fédérale de la Confédération suisse du 18 avril 1999 (Cst - RS 101) prescrit que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et les arrêts cités).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références citées).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 ATF 129 I 161 consid. 4.1; ATF 126 II 377 consid. 3a et les références citées). Une autorité ne peut toutefois pas valablement promettre le fait d'une autre autorité (arrêt du Tribunal fédéral des assurances K 7/04 du 27 janvier 2005 consid. 3.1).</w:t>
      </w:r>
    </w:p>
    <w:p>
      <w:r>
        <w:rPr>
          <w:b/>
        </w:rPr>
        <w:t>E. 7.3</w:t>
      </w:r>
    </w:p>
    <w:p>
      <w:r>
        <w:t>En l’occurrence, dans ses écritures, la recourante ne démontre pas qu’elle aurait pris de quelconques dispositions auxquelles elle ne pourrait renoncer, sans subir de préjudice. Au contraire, il est patent que, même si l’intéressée avait déposé plus tôt sa demande d’autorisation de séjour et de travail auprès de l’OCPM (par exemple, immédiatement après la fin des rapports de travail), elle n’en aurait tiré aucun avantage. En effet, même si l’assurée s’était adressée à</w:t>
      </w:r>
    </w:p>
    <w:p>
      <w:r>
        <w:t>A/1496/2021 - 13/15 - l’OCPM avant décembre 2020, cela n’aurait rien changé au fait que, depuis le terme de son contrat avec l’ONU, elle n’était plus autorisée à travailler et ne pouvait s’attendre à obtenir une autorisation de travail – vu les renseignements transmis par l’OCPM et l’absence de perspective concrète d’emploi –, de sorte qu’elle était inapte au placement. Par ailleurs, dans la mesure où la recourante fait état de (prétendus) renseignements inexacts qui lui auraient été fournis par l’OCAS et par la caisse de chômage UNIA, il y a lieu de relever que l’intimé ne saurait être lié par les renseignements fournis par d’autres autorités, conformément à la jurisprudence. De surcroît, la recourante devait nécessairement savoir que sa carte de légitimation ne lui donnait « pas accès au marché suisse du travail », puisque cela était expressément stipulé sur ce document, que cela avait été discuté lors de son premier entretien avec sa conseillère de l’ORP (cf. pièce 44 du dossier de l’intimé), et qu’au moment de son inscription au chômage, elle avait spontanément indiqué être « sans permis ». Au vu de ses qualifications juridiques, la recourante ne pouvait raisonnablement ignorer qu’en dépit du renouvellement de sa carte de légitimation jusqu’en février 2021, elle n’était plus autorisée à travailler en Suisse depuis la fin de son contrat avec l’ONU, ce qui faisait obstacle à l’octroi d’indemnités de chômage. On ne se trouve ainsi pas en présence d’un renseignement dont l’inexactitude ne pouvait être décelée par l’assurée. Partant, les conditions relatives à la protection de la bonne foi ne sont pas remplies et le grief doit être écarté. 8.</w:t>
      </w:r>
    </w:p>
    <w:p>
      <w:r>
        <w:t>8.1 Enfin, on ne saurait suivre la recourante lorsqu'elle soutient que la LACI et la décision attaquée consacreraient une discrimination fondée sur la nationalité, incompatible avec l’art. 14 (interdiction de la discrimination) de la Convention européenne de sauvegarde des droits de l'homme et des libertés fondamentales du 4 novembre 1950 (CEDH ; RS 0.101), en lien avec l’art. 8 CEDH (droit au respect de la vie privée et familiale). 8.2 Le Tribunal fédéral a déjà jugé que les règles prévues par la LACI relatives à l’aptitude au placement, en tant qu’elles nécessitent une autorisation de travail, n’enfreignent pas l’art. 14 CEDH (arrêt du Tribunal fédéral des assurances C 138/01 du 10 décembre 2001 consid. 2d), disposition dont on rappellera qu’elle n’entre en considération que si les faits du litige tombent sous l'emprise d’au moins une autre clause normative de la CEDH (arrêt du Tribunal fédéral 9C_962/2012 du 15 avril 2013 consid. 4.3). À cet égard, notre Haute-Cour a exposé que les conditions dont dépend l'aptitude au placement (art. 15 LACI) et, en particulier, celle liée au droit de l'assuré de travailler, visent aussi certaines catégories de travailleurs indigènes et non seulement les assurés étrangers (Gerhard Gerhards, Kommentar zum Arbeitslosenversicherungsgesetz [AVIG], tome I, ch. 50, p. 212 et les exemples cités sous ch. 52), en faveur desquels la loi</w:t>
      </w:r>
    </w:p>
    <w:p>
      <w:r>
        <w:t>A/1496/2021 - 14/15 - avait pour but d'instaurer une égalité maximale avec les assurés suisses (FF 1980 III 545 ss). La juridiction de céans n’a aucune raison de s’écarter de cette jurisprudence dans le cas d’espèce. 8.3 À cela s’ajoute que, sous l’angle de l’art. 8 CEDH, on ne discerne pas en quoi le refus de l’intimée d’accorder des indemnités de chômage à la recourante – qui vit seule en Suisse – constituerait une ingérence des pouvoirs publics dans sa vie privée et familiale. La recourante se borne à alléguer, sans preuve à l’appui, qu’elle a dû contracter un prêt auprès de ses parents afin de payer ses impôts, ce qui ne suffit pas à démontrer qu’elle aurait été entravée par les autorités suisses dans ses choix de vie et le développement de sa relation familiale. En tout état de cause, il convient de rappeler que, selon la jurisprudence de la Cour européenne des droits de l'homme, l’art. 8 CEDH ne fonde pas de droit direct à des prestations d'assurance sociale, notamment aux indemnités de chômage dont il est ici question. En effet, l'art. 8 CEDH n'impose pas aux Etats contractants une obligation de fournir certaines prestations financières ou de garantir un certain niveau de vie (ATF 139 I 257 consid. 5.2.2 et les références citées), de sorte que cette disposition n’a pas été violée dans le cas d’espèce. 8.4 Pour le reste, la recourante n’explique pas en quoi la décision attaquée enfreindrait les autres engagements internationaux qu’elle énumère pêle-mêle dans ses écritures. S’agissant plus particulièrement du Pacte international relatif aux droits économiques, sociaux et culturels, on rappellera que, selon une jurisprudence constante, les dispositions qu’il contient sont de nature programmatique; elles s'adressent au législateur et ne confèrent en principe pas aux particuliers de droits subjectifs que ceux-ci peuvent invoquer en justice (cf. notamment ATF 136 I 290 consid. 2.3.1). En ce qui concerne le Protocole n° 12 à la CEDH, également invoqué par la recourante, il n'a pas été signé par la Suisse et n'est donc pas applicable (arrêt du Tribunal fédéral 5A_362/2016 du 20 février 2017 consid. 6.3). Enfin, la recourante n’expose pas en quoi l’intimée aurait méconnu l'art. 5 (en lien avec l’art. 2) de la Convention sur l'élimination de toutes les formes de discrimination raciale, lequel énonce les domaines dans lesquels les Etats parties s'engagent à interdire et à éliminer la discrimination raciale, respectivement à garantir le droit de chacun à l'égalité devant la loi sans distinction de race, de couleur ou d'origine nationale ou ethnique. Il n’y a pas lieu de se pencher plus avant sur l’examen de ladite convention, vu l’absence de motivation topique portant sur ce traité international dans le recours. 8.5 Eu égard à ce qui précède, le grief tiré du caractère (prétendument) discriminatoire de la décision d’inaptitude au placement doit également être écarté. 9. Mal fondé, le recours est rejeté.</w:t>
      </w:r>
    </w:p>
    <w:p>
      <w:r>
        <w:t>A/1496/2021 - 15/15 -</w:t>
      </w:r>
    </w:p>
    <w:p>
      <w:r>
        <w:t>PAR CES MOTIFS, LA CHAMBRE DES ASSURANCES SOCIALES :</w:t>
      </w:r>
    </w:p>
    <w:p>
      <w:r>
        <w:t>Statuant À la forme :</w:t>
      </w:r>
    </w:p>
    <w:p>
      <w:r>
        <w:rPr>
          <w:b/>
        </w:rPr>
        <w:t>E. 10</w:t>
      </w:r>
    </w:p>
    <w:p>
      <w:r>
        <w:t>février 2011 consid. 3.2.1). 5.2 La carte de légitimation sert de titre de séjour en Suisse et remplace l'autorisation de séjour délivrée sur la base des dispositions ordinaires du droit des étrangers. Elle atteste d'éventuels privilèges et immunités dont jouit son titulaire et exempte ce dernier de l'obligation du visa pour la durée de ses fonctions (art. 17 al. 3 de l'ordonnance du 7 décembre 2007 relative à la loi fédérale sur les privilèges, les immunités et les facilités, ainsi que sur les aides financières accordés par la Suisse en tant qu'État hôte [OLEH; RS 192.121]; cf. Caroline KRAEGE, Sonderregelungen für Personen, die Vorrechte und Immunität</w:t>
      </w:r>
    </w:p>
    <w:p>
      <w:r>
        <w:t>A/1496/2021 - 9/15 - geniessen, in Aussländerrecht, Uebersax et al. [éd.], 2 e éd. 2009, n° 5.51). La carte ne fonde toutefois pas les privilèges, mais en atteste uniquement (KRAEGE, op. cit., n° 5.52). L'étendue des privilèges est déterminée en fonction de la catégorie de personnes à laquelle celles-ci appartiennent, conformément au droit international et aux usages internationaux (cf. art. 10 OLEH). Ces privilèges sont accordés en faveur du bénéficiaire institutionnel concerné et non pas à titre individuel (art. 9 al. 1 OLEH). Le Département fédéral a arrêté les Lignes directrices du 1er janvier 2016 sur la délivrance des cartes de légitimation aux collaborateurs des organisations internationales quasi-gouvernementales et des autres organismes internationaux (ci-après: LD; disponibles sur le site Internet de la Mission permanente de la Suisse auprès de l'Office des Nations Unies et des autres organisations internationales à Genève). Selon le pt 2 LD, il existe deux types de carte de légitimation destinées aux collaborateurs des organisations internationales, à savoir la carte de légitimation de type « R », délivrée aux collaborateurs eux- mêmes, ainsi que celle de type « H », délivrée aux stagiaires. La carte de légitimation en cours de validité permet à son titulaire de se mouvoir dans l'espace Schengen pour une durée allant jusqu'à maximum trois mois (sans activité lucrative). Seules peuvent recevoir une carte de légitimation les personnes de nationalité étrangère recrutées à l’étranger ou celles qui peuvent être recrutées en Suisse sans pour autant disposer pour cela d’un permis valable (permis B [autorisation de séjour], C [autorisation d’établissement] ou L [permis de courte durée]). La carte de légitimation n’autorise pas les collaborateurs à travailler parallèlement pour une autre organisation, ni sur le marché suisse du travail (pt 5 LD). L'organisation notifie à la Mission suisse la fin des fonctions des collaborateurs en lui indiquant la date exacte de la fin des fonctions. Les collaborateurs se voient accorder d’office un délai de courtoisie de deux mois dès la date exacte de la fin des fonctions. Les personnes qui ne sont pas ressortissantes des États de l’espace Schengen doivent quitter la Suisse munies de leur carte de légitimation avant l’échéance du délai de courtoisie (pts 8 et 9 LD). On ajoutera encore qu’en ce qui concerne les membres du personnel des représentations étrangères et des organisations internationales, les directives du Secrétariat d’État aux migrations relatives au domaine des étrangers, dans leur teneur en vigueur au 1er mars 2022, prévoient (ch. 7.2.3) que si le titulaire principal cesse ses fonctions officielles, il est alors soumis aux dispositions générales du droit des étrangers (art. 54 OASA), notamment à celles relatives au contingentement de la main-d’œuvre étrangère. 6.</w:t>
      </w:r>
    </w:p>
    <w:p>
      <w:r>
        <w:t>6.1 En l'espèce, l'intimé a retenu que l'assurée était inapte au placement, faute d'autorisation de travail.</w:t>
      </w:r>
    </w:p>
    <w:p>
      <w:r>
        <w:t>A/1496/2021 - 10/15 - La recourante conteste son inaptitude au placement et, soulignant ses qualifications académiques et professionnelles, semble soutenir que l'intimé a omis à tort de tenir compte de ses perspectives d'emploi. Elle ajoute que si elle n’a requis une autorisation auprès de l’OCPM qu’après l’expiration de sa carte de légitimation, c’est parce que l’OCAS et la caisse de chômage UNIA lui ont indiqué que cette carte donnait droit aux indemnités de chômage. Enfin, elle juge discriminatoire d’être traitée différemment des ressortissants de l’Union européenne, dont elle souligne qu’ils peuvent bénéficier de prestations de chômage « dès leur demande de permis ». 6.2 Il est incontesté que la recourante a travaillé jusqu’au 30 septembre 2020 en qualité de consultante auprès de l’ONU et que, depuis la fin de ses rapports de travail avec cette organisation, elle n’est plus autorisée à travailler en Suisse. De ce fait, elle a déposé, fin décembre 2020, une demande d’autorisation de séjour avec activité lucrative auprès de l’OCPM. Comme cela ressort des considérants qui précèdent, un ressortissant étranger n'est apte au placement que s'il est au bénéfice d'une autorisation de travail qui lui permet, le cas échéant, d'accepter l'offre d'un employeur potentiel. En l’absence d'une telle autorisation, comme c’est le cas en l’espèce, il convient de déterminer de manière prospective – sur la base des faits intervenus jusqu'au moment de la décision sur opposition – si le ressortissant étranger pouvait compter sur l'obtention d'une autorisation de travail (cf. supra consid. 4.3). En l’occurrence, il ressort du dossier que l’intimé a instruit la question déterminante par le biais d’un échange de courriels avec l’OCPM. Interrogé par l’OCE sur la question de savoir si l’assurée pouvait s’attendre à obtenir une réponse favorable à sa demande de permis de séjour (dans l’hypothèse où elle transmettait tous les documents requis), l’OCPM a répondu que, selon les directives de la Mission permanente de la Suisse auprès de l’ONU, les séjours des titulaires de carte de légitimation ou permis Ci n’étaient pas comptabilisés pour l’obtention d’un permis de séjour de type B. En outre, selon le chef du secteur autorisations de l’OCPM, l’assurée ne paraissait pas « plaçable » sur le marché de l’emploi, eu égard à sa citoyenneté extra-européenne et au fait qu’elle n’avait pas droit à un permis B, de sorte qu’une « intention de refus » lui serait envoyée (cf. courriels adressés par l’OCPM à l’OCE le 11 mars 2021). Dans un autre courriel (du 9 décembre 2020), l’OCPM a encore précisé qu’une demande d’autorisation de séjour avec activité lucrative devait être approuvée par l’OCIRT, dont le préavis serait « très réservé », vu la nationalité de l’assurée. On peut déduire de ces renseignements qu’en mars 2021, la recourante ne pouvait légitimement s’attendre à se voir accorder l’autorisation de séjour et de travail requise, dont l’octroi aurait supposé qu’elle satisfasse aux conditions restrictives prescrites par la LEI pour les ressortissants extra-européens (notamment la règle de priorité prévue par l’art. 21 al. 1 LEI) et que l’autorité cantonale puise dans le</w:t>
      </w:r>
    </w:p>
    <w:p>
      <w:r>
        <w:t>A/1496/2021 - 11/15 - contingent limité de permis B attribués au canton de Genève pour cette catégorie de personnes (cf. supra consid. 5.1). De surcroît, la Cour de céans constate qu’en dépit des diverses candidatures qu’elle a adressées depuis son inscription au chômage, en octobre 2020, la recourante n’a reçu aucune proposition ferme d’engagement en Suisse de la part d’un employeur potentiel, notamment durant la période déterminante courant jusqu’au prononcé de la décision sur opposition du 19 mars 2021. Dans son acte de recours, la recourante se limite à faire état d’entretiens auxquels elle aurait été conviée en Suisse. Or, une simple phase d'entretien signifie précisément que les parties n'ont pas (ou pas encore) convenu d'un contrat de travail et encore moins d'une date d'entrée en service, de sorte qu'une autorisation de travail ne pouvait être attendue, faute d'emploi dans le cas concret (art. 11 al. 3 et 18 let. b LEI ; cf. supra consid. 5.1). Au demeurant, même si la recourante avait conclu un contrat de travail avec une entreprise sise en Suisse, rien n'indique qu'elle aurait finalement obtenu l’autorisation de travail et de séjour sollicitée (arrêt du Tribunal fédéral des assurances C 248/06 du 24 avril 2007 consid. 2.2 et la référence). La délivrance d’une telle autorisation pouvait d’autant moins être attendue que, selon la jurisprudence, le bénéficiaire d’une carte de légitimation de validité limitée (type H) – à l’instar de la recourante – est susceptible de retourner dans son pays d'origine à tout moment, si son employeur renonce à renouveler son contrat de travail. Lorsqu'il vient en Suisse, l'étranger titulaire d’une carte de légitimation sait que son statut dans le pays d'accueil n'est que précaire et qu'il est hautement susceptible de devoir retourner à moyen ou court terme dans son pays d'origine, de sorte qu’il ne lui est pas possible – contrairement à l’étranger bénéficiaire d'une autorisation de séjour – d’invoquer une intégration sociale et professionnelle particulièrement intense pour se prévaloir d'un droit de présence durable en Suisse, ceci indépendamment de la durée effective du séjour dans ce pays (arrêts du Tribunal fédéral 2C_360/2016 du 31 janvier 2017 consid. 5.4 et 2C_1023/2016 du 11 avril 2017 consid. 6.3). Au vu de ce qui précède, force est d’admettre qu’au moment où a été rendue la décision litigieuse du 19 mars 2021, la recourante ne pouvait compter sur l'obtention d'une autorisation de travail. C'est dès lors à juste titre que l’autorité intimée a nié son aptitude au placement et, partant, son droit à l'indemnité de chômage. On précisera encore que, contrairement à ce que laisse entendre la recourante, le versement de cotisations aux assurances sociales ne saurait à lui seul justifier la reconnaissance du droit à l’indemnité de chômage. Suivre un tel raisonnement reviendrait en effet à vider de leur sens les conditions auxquelles la loi subordonne le droit à l’indemnité de chômage, dont celles ayant trait à l’aptitude au placement (art. 8 et 15 al. 1 LACI).</w:t>
      </w:r>
    </w:p>
    <w:p>
      <w:r>
        <w:t>A/1496/2021 - 12/15 - 7.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