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ATAS/243/2012 vom 7. März 2012</w:t>
      </w:r>
    </w:p>
    <w:p>
      <w:r>
        <w:t>GE Cour de justice, 2012-03-07, FR</w:t>
      </w:r>
    </w:p>
    <w:p>
      <w:r>
        <w:rPr>
          <w:b/>
        </w:rPr>
        <w:t xml:space="preserve">Quelle: </w:t>
      </w:r>
      <w:r>
        <w:t>https://mcp.opencaselaw.ch/entscheid/ge_gerichte_ATAS_243_2012</w:t>
      </w:r>
    </w:p>
    <w:p>
      <w:r>
        <w:t>FR: GE_GERICHTE ATAS/243/2012 du 7 mars 2012</w:t>
      </w:r>
    </w:p>
    <w:p>
      <w:r>
        <w:t>IT: GE_GERICHTE ATAS/243/2012 del 7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entrées en vigueur le 1er janvier 2008, sont régies par le même principe et sont donc applicables.</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L'objet du litige consiste à déterminer si c’est à juste titre que l’intimé a rejeté la nouvelle demande de prestations déposée par la recourante, motif pris qu’elle ne présente aucune atteinte à la santé invalidante.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w:t>
      </w:r>
    </w:p>
    <w:p>
      <w:r>
        <w:t>A/1633/2011 - 8/17 - sociales, est une notion économique et non médicale ; ce sont les conséquences économiques objectives de l’incapacité fonctionnelle qu’il importe d’évaluer (ATF 110 V 275 consid. 4a ; 105 V 207 consid. 2). b) Aux termes de l’art. 28 al. 2 LAI,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9C_387/2009 du 5 octobre 2009,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w:t>
      </w:r>
    </w:p>
    <w:p>
      <w:r>
        <w:t>A/1633/2011 - 9/17 -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rPr>
          <w:b/>
        </w:rPr>
        <w:t>E. 7</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Il en va de même du diagnostic de trouble dysthymique (F34.1).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Tribunal fédéral des assurances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w:t>
      </w:r>
    </w:p>
    <w:p>
      <w:r>
        <w:t>A/1633/2011 - 10/17 -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8</w:t>
      </w:r>
    </w:p>
    <w:p>
      <w:r>
        <w:t>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A/1633/2011 - 11/17 - ainsi que l'allégation de lourds handicaps malgré un environnement psychosocial intact (ATF 131 V 49, consid. 1.2).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Lorsque la rente ou l'allocation pour impotent a été refusée parce que le degré d'invalidité était insuffisant ou parce qu'il n'y avait pas d'impotence, la nouvelle demande ne peut être examinée que si l'assuré rend plausible que son invalidité ou</w:t>
      </w:r>
    </w:p>
    <w:p>
      <w:r>
        <w:t>A/1633/2011 - 12/17 - son impotence s'est modifiée de manière à influencer ses droits (art. 87 al. 3 et 4 du règlement sur l’assurance-invalidité du 17 janvier 1961 - RAI,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et ATF 117 V 200 consid. 4b ainsi que les références). Lorsque, comme en l’espèce, l'administration est entrée en matière sur la nouvelle demande, le contrôle par l’autorité judiciaire n’est pas nécessaire, s’agissant de l’appréciation du caractère plausible des allégations de l’assuré (ATF 109 V 114 consid. 2b).</w:t>
      </w:r>
    </w:p>
    <w:p>
      <w:r>
        <w:rPr>
          <w:b/>
        </w:rPr>
        <w:t>E. 11</w:t>
      </w:r>
    </w:p>
    <w:p>
      <w:r>
        <w:t>En l'espèce, il s’agit de déterminer si l’état de santé de la recourante s’est aggravé dans une mesure susceptible de modifier son droit aux prestations de l’assurance- invalidité. Pour ce faire, il convient de comparer les faits tels qu'ils se présentaient au moment de la décision administrative litigieuse et les circonstances prévalant à l'époque de la dernière décision de refus des prestations entrée en force - soit en l’occurrence le 13 novembre 2006 -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12</w:t>
      </w:r>
    </w:p>
    <w:p>
      <w:r>
        <w:t>a) L’examen bidisciplinaire effectué par les médecins du SMR le 8 février 2006 avait conclu à l’absence de diagnostic avec répercussion sur la capacité de travail. Sur le plan psychique, les médecins n'avaient retenu aucune anomalie de développement mental, ni aucune atteinte à la santé d'ordre psychiatrique (notamment aucun signe spécifique de dépression). L'assurée ne présentait pas non plus de trait prémorbide de la personnalité. Il n'y avait pas de comorbidité psychiatrique, d'affection corporelle chronique ou de perte d'intégration sociale. Les douleurs alléguées étaient divergentes par rapport aux comportements observés, les informations fournies ne concordaient pas avec celles ressortant de l'anamnèse et la démonstrativité des plaintes avait laissé l'expert insensible au vu des incohérences. Sur le plan somatique, l'examen clinique avait dû être interrompu en raison d'un manque de collaboration de l'assurée. Les médecins avaient retenu le diagnostic de fibromyalgie posé par le Dr L_________, sans atteinte somatique sur le plan ostéoarticulaire pouvant avoir un caractère invalidant. Les autres diagnostics sans caractère invalidant retenus étaient celui d'une hypertension artérielle, d'une hyper- cholestérolémie, d'une obésité et d'un vraisemblable reflux gastro-oesophagien dans un contexte de gastrite avec recherche d'Helicobacter pylori positif. b) Dans le cadre de la nouvelle demande, l’intimé a confié une expertise interdisciplinaire aux médecins du CeMED, lesquels ont rendu leur rapport en date</w:t>
      </w:r>
    </w:p>
    <w:p>
      <w:r>
        <w:t>A/1633/2011 - 13/17 - du 12 novembre 2010. Ils ont estimé que dans une activité adaptée respectant les limitations, la capacité de travail de l'assurée était de 50%, à raison de deux fois deux heures par jour, avec une pause minimale de deux heures, tant pour des raisons psychiques que somatiques. Sur le plan psychique, les experts ont retenu au titre de diagnostics avec répercussion sur la capacité de travail un trouble dépressif récurrent épisode actuel moyen et un syndrome douloureux somatoforme persistant. Sur le plan somatique, les experts ont retenu, au titre de diagnostic avec répercussion sur la capacité de travail, une uncarthrose cervicale sténosante en C5- C6. Cette atteinte cervicale pouvait expliquer les douleurs à ce niveau et possiblement les céphalées. Malgré tout, les plaintes dépassaient largement ce cadre, notamment au niveau lombaire et des genoux, pour lesquelles il n’y avait pas de substrat organique. Il appartient dès lors à la Cour de céans de déterminer si l’expertise du CeMED dispose d’une pleine valeur probante et, dans l’affirmative, de déterminer s’il y a eu aggravation ou toute autre modification de l’état de santé de la recourante et, le cas échéant, le caractère invalidant des atteintes retenues par les experts.</w:t>
      </w:r>
    </w:p>
    <w:p>
      <w:r>
        <w:rPr>
          <w:b/>
        </w:rPr>
        <w:t>E. 13</w:t>
      </w:r>
    </w:p>
    <w:p>
      <w:r>
        <w:t>a) La recourante estime que malgré d'importantes lacunes, l’expertise du CeMED doit se voir reconnaitre pleine valeur probante, de sorte qu'elle présenterait une capacité résiduelle de travail de seulement deux fois 2 heures par jour. b) L'intimé a pour sa part suivi l'avis des médecins du SMR, lesquels se sont écartés des conclusions de l’expertise concernant le caractère invalidant du trouble somatoforme douloureux, relevant que selon la jurisprudence, un épisode dépressif de gravité moyenne était intégré à la fibromyalgie ou au trouble douloureux somatoforme et qu’il ne pouvait être considéré comme une comorbidité psychiatrique. Il a également nié l’existence d’une affection corporelle chronique incapacitante, l’échec des traitements conformes aux règles de l’art ainsi que la perte d’intégration psychosociale qui devait être mise en relation avec une barrière sociale parallèle au manque d’intégration avec une quasi méconnaissance du français. Finalement, seul un état psychique cristallisé était susceptible d’être retenu, de sorte que le syndrome somatoforme douloureux ne correspondait pas aux critères jurisprudentiels. c) La Cour de céans relève que lors de leur expertise, les médecins du CeMED ont procédé à un examen complet et minutieux de l’état de santé de la recourante. Pour ce faire, les experts se sont appuyés sur l’entier du dossier, notamment sur les rapports des médecins ayant examiné la patiente auparavant, de sorte qu’on ne peut que constater que leur rapport se base sur un dossier bien étayé. Une anamnèse complète a été réalisée et le rapport d'une quinzaine de pages est circonstancié. L’état de santé de la recourante a fait l’objet d’examens approfondis, ses plaintes</w:t>
      </w:r>
    </w:p>
    <w:p>
      <w:r>
        <w:t>A/1633/2011 - 14/17 - ont été prises en compte et les médecins ont procédé à une discussion et une appréciation du cas détaillée. L’expertise des médecins du CeMED revêt par conséquent pleine valeur probante. c/aa) Sur le plan psychique, les médecins du CeMED ont retenu le diagnostic de trouble somatoforme, au contraire de ce qui était le cas en 2006. Il s’agit donc de déterminer si les critères permettant de retenir le caractère incapacitant dudit trouble sont réalisés. Concernant les critiques des médecins du SMR à cet égard, la Cour souligne que le fait de porter des appréciations juridiques n’est pas de la compétence du médecin (ATFA du 4 juin 2003, cause I 748/02, consid. 4.2). Néanmoins, les critiques formulées par le service médical de l'intimé basées sur les critères de MEYER- BLASER à l'encontre des conclusions de l’expertise sur le caractère invalidant du trouble somatoforme douloureux ne sont pas pour autant infondées. Au contraire, il est vrai que l'affection en cause, soit le trouble dépressif récurrent épisode actuel moyen, qui constitue une manifestation (réactive) d'accompagnement des troubles somatoformes douloureux (cf. ATF 130 V 358 consid. 3.3.1 in fine; MEYER- BLASER, op. cit., p. 81, note 135), ne suffit pas à établir en l'espèce l'existence d'une comorbidité psychiatrique d'une acuité et d'une gravité suffisamment importantes pour admettre qu'un effort de volonté en vue de surmonter la douleur et de réintégrer un processus de travail n'est pas exigible de la part de la recourante (voir arrêt non publié I 488/04 du 31 janvier 2006). Il convient donc à ce stade d’examiner la présence éventuelle d'autres éléments dont le cumul permet d'apprécier le caractère invalidant du trouble somatoforme en question. Au vu des conclusions des médecins du CeMED, en particulier la constatation d'une uncarthrose cervicale sténosante vraisemblablement présente depuis 2002, on peut admettre que la recourante présente une affection corporelle chronique. En revanche, il n'apparaît pas qu'elle subisse une perte d'intégration sociale dans toutes les manifestations de la vie: au dire des experts, même si elle se décrit très limitée dans toutes les activités ménagères, la recourante s'occupe seule de la préparation des repas durant la journée et va quotidiennement faire des courses à la MIGROS; de plus, ainsi que le relèvent à juste titre les médecins du SMR, si l'intégration de la recourante est particulièrement déficiente, c'est en grande partie dû à une méconnaissance du français qui est un facteur culturel non reconnu par l'AI. Par ailleurs, les experts du CeMED sont d'avis que la recourante n'a pas épuisé toutes ses ressources sur le plan de la capacité de travail et qu'une amélioration de l'efficacité du traitement antidépresseur et une thérapie de type cognitif comportemental avec des objectifs clairs de reconditionnement pourrait améliorer sa capacité de travail; on ne saurait donc conclure à l'existence d'un état psychique cristallisé marquant une libération du processus de résolution du conflit, sans évolution possible sur le plan thérapeutique.</w:t>
      </w:r>
    </w:p>
    <w:p>
      <w:r>
        <w:t>A/1633/2011 - 15/17 - Au regard de ces éléments, la Cour de céans considère que le trouble somatoforme douloureux ne se manifeste pas avec une sévérité telle que, d'un point de vue objectif, il exclut toute mise en valeur de la capacité de travail de la recourante. Il y a lieu d'admettre, au contraire, le caractère exigible d'un effort de volonté de sa part en vue de surmonter la douleur et se réinsérer pleinement dans un processus de travail. L'office intimé était par conséquent fondé à s'écarter des conclusions des experts du CeMED quant au caractère invalidant du trouble somatoforme douloureux. c/bb) L’atteinte psychique n’étant pas invalidante, il convient de déterminer si l’atteinte somatique l’est. Les médecins du CeMED ont retenu le diagnostic d'uncarthrose cervicale sténosante en C5-C6. Selon eux, les troubles cervicaux de la recourante limitaient son temps de travail et surtout toutes les activités sollicitant la nuque ou la ceinture scapulaire, avec par exemple des gestes répétitifs ou amples, ainsi que des positions statiques prolongées. La capacité de travail comme femme de ménage était donc diminuée. Il était par contre beaucoup plus difficile de préciser le taux d'incapacité ou le nombre d'heures par jour, car cela dépendrait précisément du cahier des charges, c'est-à-dire de savoir à quelle intensité la ceinture scapulaire et la nuque seraient sollicitées. En envisageant un travail de nettoyeuse relativement léger, un taux d'activité de 2 heures par jour devait être possible d'un point de vue médico- théorique. Dans un travail adapté respectant les limitations fonctionnelles, on pouvait envisager un travail à 50% à raison de deux fois 2 heures par jour au maximum, tant pour des raisons psychiques que physiques. Selon les experts, les troubles dégénératifs cervicaux de la recourante étaient probablement devenus significatifs peu avant son licenciement en 2002. Or, la Cour de céans constate que les médecins du SMR n'avaient pas fait état de tels problèmes cervicaux lors leur examen du 8 février 2006. Un examen rhumatologique détaillé n'avait toutefois pas été possible en 2006 en raison d'un manque de collaboration flagrant de la recourante et d'un discours incohérent. Selon les médecins du CeMED, cette atteinte cervicale pouvait expliquer les douleurs à ce niveau et possiblement les céphalées de la recourante. Malgré tout, les plaintes dépassaient largement ce cadre, notamment au niveau lombaire et des genoux, pour lesquelles il n’y avait pas de substrat organique. En somme, il existait bien des douleurs dont certaines pouvaient être mises en relation avec des événements somatiques, mais ces douleurs semblaient en fait constituer l'unique voix d'expression de la souffrance psychique permettant d'attirer l'attention et d'obtenir l'aide des membres de la famille. Ainsi que l'a relevé à juste titre le SMR dans son avis médical du 10 janvier 2011, la recourante a fait preuve de peu de collaboration lors de son examen somatique par les médecins du CeMED.</w:t>
      </w:r>
    </w:p>
    <w:p>
      <w:r>
        <w:t>A/1633/2011 - 16/17 - Invité par la Cour de céans à préciser quelle était la capacité de travail résiduelle compte tenu de l’atteinte somatique uniquement, le Dr N_________ a indiqué qu’il lui était difficile de répondre, dès lors que l’expertisée présente un problème douloureux avec une composante clairement physique, mais aussi une intrication significative avec les différents autres facteurs psychiques et socio-culturels. La recourante présente, en plus de l’arthrose cervicale postérieure, un rétrécissement d’un trou de conjugaison, ce qui peut entraîner un conflit (par irritation ou compression) constant ou intermittent avec les racines nerveuses et expliquer les contractures ainsi que les douleurs. Or, ainsi que le SMR le fait remarquer, les limitations sont minimes et le Dr N_________ admet lui-même qu’il n’existe pas d’examen médical objectif pour confirmer les contractures musculaires et que l’examen clinique est rendu plus difficile en raison de l’obésité et de l’appréhension de la douleur. Enfin, des discordances avaient d’ailleurs déjà été relevées dans le rapport d’expertise du CeMED. Dès lors, l’hypothèse d’un conflit évoquée par le Dr N_________ ne peut être retenue, en l’absence d’un substrat organique clairement établi, et les facteurs socio-culturels n’entrent en l’espèce pas en ligne de compte lors de l’appréciation de la capacité de travail résiduelle. Par conséquent, comme en 2006, il n'y a pas d'atteinte somatique justifiant en tant que telle la baisse de rendement retenue par les experts. En conclusion, la Cour de céans considère que les troubles cervicaux de la recourante ne sont pas invalidants et qu'une aggravation de son état de santé sur le plan somatique n'a pas été établie.</w:t>
      </w:r>
    </w:p>
    <w:p>
      <w:r>
        <w:rPr>
          <w:b/>
        </w:rPr>
        <w:t>E. 14</w:t>
      </w:r>
    </w:p>
    <w:p>
      <w:r>
        <w:t>Il résulte de tout ce qui précède que le recours doit être rejeté dans le sens des considérants et la décision de l'intimé du 5 mai 2011 confirmée.</w:t>
      </w:r>
    </w:p>
    <w:p>
      <w:r>
        <w:rPr>
          <w:b/>
        </w:rPr>
        <w:t>E. 15</w:t>
      </w:r>
    </w:p>
    <w:p>
      <w:r>
        <w:t>En vertu de l'art. 61 let. g LPGA, seul le recourant obtenant gain de cause a droit au remboursement de ses frais et dépens. Compte tenu de l'issue du litige, la recourante sera par conséquent déboutée de sa conclusion y relative.</w:t>
      </w:r>
    </w:p>
    <w:p>
      <w:r>
        <w:rPr>
          <w:b/>
        </w:rPr>
        <w:t>E. 16</w:t>
      </w:r>
    </w:p>
    <w:p>
      <w:r>
        <w:t>En vertu de l'art. 69 al. 1bis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la recourante au paiement d'un émolument de 200 fr.</w:t>
      </w:r>
    </w:p>
    <w:p>
      <w:r>
        <w:t>A/1633/2011 - 17/17 -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