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ATAS/243/2010 vom 10. März 2010</w:t>
      </w:r>
    </w:p>
    <w:p>
      <w:r>
        <w:t>GE Cour de justice, 2010-03-10, FR</w:t>
      </w:r>
    </w:p>
    <w:p>
      <w:r>
        <w:rPr>
          <w:b/>
        </w:rPr>
        <w:t xml:space="preserve">Quelle: </w:t>
      </w:r>
      <w:r>
        <w:t>https://mcp.opencaselaw.ch/entscheid/ge_gerichte_ATAS_243_2010</w:t>
      </w:r>
    </w:p>
    <w:p>
      <w:r>
        <w:t>FR: GE_GERICHTE ATAS/243/2010 du 10 mars 2010</w:t>
      </w:r>
    </w:p>
    <w:p>
      <w:r>
        <w:t>IT: GE_GERICHTE ATAS/243/2010 del 10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Sur le plan matériel, le droit applicable est déterminé par les règles en vigueur au moment où les faits juridiquement déterminants se sont produits, étant rappelé que le juge n’a pas à prendre en compte les modifications du droit ou de l’état de fait postérieurs à la</w:t>
      </w:r>
    </w:p>
    <w:p>
      <w:r>
        <w:t>A/3254/2009 - 5/10 - date déterminante de la décision litigieuse ( ATF 130 V 446 consid. 1.2.1 ; 129 V 4 consid. 1.2).</w:t>
      </w:r>
    </w:p>
    <w:p>
      <w:r>
        <w:rPr>
          <w:b/>
        </w:rPr>
        <w:t>E. 3</w:t>
      </w:r>
    </w:p>
    <w:p>
      <w:r>
        <w:t>Le litige porte sur le droit du recourant à des prestations de l’assurance-invalidité, singulièrement sur son degré d’invalidité et à l’octroi d’une mesure de reclassement professionnel.</w:t>
      </w:r>
    </w:p>
    <w:p>
      <w:r>
        <w:rPr>
          <w:b/>
        </w:rPr>
        <w:t>E. 4</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pour la période postérieure, cf. art. 28a al. 1 LAI). Il s'agit de la méthode ordinaire d'évaluation de l'invalidité par comparaison de revenus (cf. ATF 130 V 343 consid. 3.4 p. 348 sv.). Selon l'art. 28 al. 1 LAI, dans sa teneur en vigueur dès le 1er janvier 2008 (5e révision 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années, il est invalide (art. 8 LPGA) à 40 % au moins (let. c).</w:t>
      </w:r>
    </w:p>
    <w:p>
      <w:r>
        <w:t>A/3254/2009 - 6/10 - L'entrée en vigueur, le 1er janvier 2004, de la 4ème révision de la LAI a modifié la teneur de l'art. 28 al. 1 LAI relatif à l'échelonnement des rentes selon le taux d'invalidité.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Enfin, conformément à l'art. 29 al. 1 LAI, en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6</w:t>
      </w:r>
    </w:p>
    <w:p>
      <w:r>
        <w:t>En l’espèce, il n’est pas contesté que le recourant n’est plus en mesure d’exercer son ancienne activité de maçon qualifié, en raison d’une gonarthrose gauche avec</w:t>
      </w:r>
    </w:p>
    <w:p>
      <w:r>
        <w:t>A/3254/2009 - 7/10 - lésion méniscale, lombalgies sur lésions dégénératives et cervico-dorso-lombalgies (cf. rapports des Drs M___________, L___________, O___________). En revanche, dans une activité adaptée légère, respectant strictement les limitations fonctionnelles, à savoir éviter de porter ou lever des charges, la position debout, accroupie, à genoux, le travail en terrain irrégulier ou en hauteur, les médecins du SMR considèrent qu’une activité à 100 % est possible, sans diminution de rendement. Le recourant conteste cette appréciation. Il convient de relever cependant que le médecin traitant, dans un rapport du 3 juin 2009, rejoint en tous points cette appréciation, de même que les différents médecins ayant examiné le recourant. Aucun élément médical ne vient contredire l’appréciation des médecins du SMR, ces derniers relevant par ailleurs que l’affection pneumologique du début de l’année 2009 n’est que transitoire. Par conséquent, il convient d’admettre que le recourant est capable d’exercer une activité adaptée à 100 %, sans diminution de rendement.</w:t>
      </w:r>
    </w:p>
    <w:p>
      <w:r>
        <w:rPr>
          <w:b/>
        </w:rPr>
        <w:t>E. 7</w:t>
      </w:r>
    </w:p>
    <w:p>
      <w:r>
        <w:t>Reste à déterminer le degré d’invalidité du recourant.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w:t>
      </w:r>
    </w:p>
    <w:p>
      <w:r>
        <w:t>A/3254/2009 - 8/10 -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8</w:t>
      </w:r>
    </w:p>
    <w:p>
      <w:r>
        <w:t>En l’espèce, le moment déterminant de l’ouverture éventuel du droit à la rente se situe en janvier 2009, conformément à l’art. 28 al. 1 let. b LAI. Concernant le revenu sans invalidité, l’intimé s’est référé aux inscriptions figurant sur l’extrait du compte individuel du recourant, soit en l’occurrence un salaire annuel de 70'773 fr. pour l’année 2006. Réactualisé à 2009, ce revenu s’élève à 74'853 fr. 35 (indice 2008 : 2219 ; variation annuelle des salaires nominaux en 2009, moyenne des trois derniers trimestres 2 %, cf. Evolution des salaires nominaux 1976 - 2008, Office fédéral de la statistique). Quant au revenu d’invalide, faute d’exercice d’une activité lucrative adaptée au moment de la décision, il convient de se référer aux données statistiques, telles qu’elles ressortent de l’Enquête suisse sur la structure des salaires (ESS), à savoir le salaire de référence auquel peuvent prétendre les hommes effectuant des activités simples et répétitives (niveau de qualification 4) dans le secteur privé. En effet, au regard du large éventail d'activités simples et répétitives que recouvrent les secteurs de la production et des services, on doit convenir qu'un certain nombre d'entre elles sont adaptées à l'état de santé du recourant. En 2008, le salaire de référence s’élevait à 4'806 fr. par mois ou 57'672 fr. annuellement (ESS 2008, tableau TA1). Comme les salaires bruts standardisés tiennent compte d'un horaire de travail de quarante heures, soit une durée hebdomadaire inférieure à la moyenne usuelle dans les entreprises en 2008 (41,6 heures; La Vie économique, 10-2009, p. 90, B 9.2), ce montant doit être porté à 59'979 fr. Après adaptation de ce chiffre à l'évolution des salaires selon l'indice des salaires nominaux pour l'année 2009 (indice 2 % moyenne des rois derniers trimestres 2009), on obtient un revenu annuel de 61'178 fr. Selon la jurisprudence, il convient de réduire le montant du salaire ressortant des données de l'ESS en fonction des empêchements propres à la personne de l'invalide, tels que le handicap, l'âge, les années de service, la nationalité, la catégorie d'autorisation de séjour ou le taux d'occupation. Une évaluation globale des effets de ces empêchements sur le revenu d'invalide, compte tenu de l'ensemble des circonstances du cas concret, est nécessaire, étant précisé que la jurisprudence</w:t>
      </w:r>
    </w:p>
    <w:p>
      <w:r>
        <w:t>A/3254/2009 - 9/10 - n'admet pas de déduction globale supérieure à 25 % (ATF 126 V 76 sv. consid. 3b/bb, 78 ss consid. 5). En l’occurrence, l’OAI n’a pas effectué d’abattement sur les salaires statistiques, contrairement à la jurisprudence. Compte tenu de l’âge du recourant, de sa nationalité, de ses limitations fonctionnelles et que désormais seule une activité légère est possible, le Tribunal de céans considère qu’un abattement de 15 % se justifie. Le revenu d’invalide s’établit dès lors à 52’001 fr. Comparé au revenu sans invalidité, le degré d’invalidité du recourant est de 30,53 %, insuffisant pour ouvrir droit à une rente. En revanche, il convient de constater que ce degré d’invalidité ouvre droit à des mesures d’ordre professionnel, ce que sollicite d’ailleurs le recourant.</w:t>
      </w:r>
    </w:p>
    <w:p>
      <w:r>
        <w:rPr>
          <w:b/>
        </w:rPr>
        <w:t>E. 9</w:t>
      </w:r>
    </w:p>
    <w:p>
      <w:r>
        <w:t>Au vu de ce qui précède, le recours doit être admis et la cause renvoyée à l’intimé pour examen des mesures d’ordre professionnel et nouvelle décision.</w:t>
      </w:r>
    </w:p>
    <w:p>
      <w:r>
        <w:rPr>
          <w:b/>
        </w:rPr>
        <w:t>E. 10</w:t>
      </w:r>
    </w:p>
    <w:p>
      <w:r>
        <w:t>Le recourant, qui obtient gain de cause, a droit à une indemnité à titre de participation à ses frais et dépens, que le Tribunal fixe en l’espèce à 800 fr.</w:t>
      </w:r>
    </w:p>
    <w:p>
      <w:r>
        <w:rPr>
          <w:b/>
        </w:rPr>
        <w:t>E. 11</w:t>
      </w:r>
    </w:p>
    <w:p>
      <w:r>
        <w:t>Un émolument de 500 fr. est mis à la charge de l’intimé (cf. art. 69 al. 1bis LAI).</w:t>
      </w:r>
    </w:p>
    <w:p>
      <w:r>
        <w:t>A/3254/2009 - 10/10 -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