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ATAS/242/2025 vom 3. April 2025</w:t>
      </w:r>
    </w:p>
    <w:p>
      <w:r>
        <w:t>GE Cour de justice, 2025-04-03, FR</w:t>
      </w:r>
    </w:p>
    <w:p>
      <w:r>
        <w:rPr>
          <w:b/>
        </w:rPr>
        <w:t xml:space="preserve">Quelle: </w:t>
      </w:r>
      <w:r>
        <w:t>https://mcp.opencaselaw.ch/entscheid/ge_gerichte_ATAS_242_2025</w:t>
      </w:r>
    </w:p>
    <w:p>
      <w:r>
        <w:t>FR: GE_GERICHTE ATAS/242/2025 du 3 avril 2025</w:t>
      </w:r>
    </w:p>
    <w:p>
      <w:r>
        <w:t>IT: GE_GERICHTE ATAS/242/2025 del 3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1er janvier 2022, sont entrées en vigueur les modifications de la LAI du 19 juin 2020 (développement continu de l’AI ; RO 2021 705).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A/712/2024 - 6/13 - En l’occurrence, la décision querellée porte sur l’octroi d’une rente dont le droit naîtrait, cas échéant, postérieurement au 31 décembre 2021, de sorte que les dispositions légales applicables seront citées dans leur nouvelle teneur.</w:t>
      </w:r>
    </w:p>
    <w:p>
      <w:r>
        <w:rPr>
          <w:b/>
        </w:rPr>
        <w:t>E. 3</w:t>
      </w:r>
    </w:p>
    <w:p>
      <w:r>
        <w:t>Le litige porte sur le droit de la recourante aux prestations de l’assurance- invalidité, plus particulièrement sur le statut et le degré d’invalidité à lui reconnaître.</w:t>
      </w:r>
    </w:p>
    <w:p>
      <w:r>
        <w:rPr>
          <w:b/>
        </w:rPr>
        <w:t>E. 4.1.1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4.1.2</w:t>
      </w:r>
    </w:p>
    <w:p>
      <w:r>
        <w:t>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4.2</w:t>
      </w:r>
    </w:p>
    <w:p>
      <w:r>
        <w:t>A/712/2024 - 7/13 -</w:t>
      </w:r>
    </w:p>
    <w:p>
      <w:r>
        <w:rPr>
          <w:b/>
        </w:rPr>
        <w:t>E. 4.2.1</w:t>
      </w:r>
    </w:p>
    <w:p>
      <w:r>
        <w:t>Selon l’art. 28a al. 2 LAI, dans sa teneur en vigueur dès le 1er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w:t>
      </w:r>
    </w:p>
    <w:p>
      <w:r>
        <w:rPr>
          <w:b/>
        </w:rPr>
        <w:t>E. 4.2.2</w:t>
      </w:r>
    </w:p>
    <w:p>
      <w:r>
        <w:t>Le degré d’invalidité se détermine alors,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4.2.3</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w:t>
      </w:r>
    </w:p>
    <w:p>
      <w:r>
        <w:t>A/712/2024 - 8/13 - dans l’appréciation de l’auteur du rapport sauf lorsqu’il existe des erreurs d’estimation que l’on peut clairement constater ou des indices laissant apparaître une inexactitude dans les résultats de l’enquête (ATF 140 V 543 consid. 3.2.1 ; 129 V 67 consid. 2.3.2 publié in VSI 2003 p. 221 ; arrêts du Tribunal fédéral 9C_625/2017 du 26 mars 2018 consid. 6.2 ; I 733/06 du 16 juillet 2007).</w:t>
      </w:r>
    </w:p>
    <w:p>
      <w:r>
        <w:rPr>
          <w:b/>
        </w:rPr>
        <w:t>E. 4.2.4</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I 308/04 ; I 309/04 du 14 janvier 2005).</w:t>
      </w:r>
    </w:p>
    <w:p>
      <w:r>
        <w:rPr>
          <w:b/>
        </w:rPr>
        <w:t>E. 4.2.5</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w:t>
      </w:r>
    </w:p>
    <w:p>
      <w:r>
        <w:t>A/712/2024 - 9/13 - 504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Soin du jardin et de l’extérieur de la maison et garde des animaux domestiques 0% 0% 0% 0.0% Invalidité dans l’accomplissement des tâches ménagères, pour un 100% : - après la mise en œuvre de mesures d’adaptation raisonnablement exigibles pour améliorer la capacité de travail (méthode de travail adéquate, acquisition d’équipements et d’appareils ménagers appropriés) (ch. 3613 CIRAI) - après déduction de l’aide exigible des membres de la famille et des personnes vivant en ménage commun (ch. 3614 CIRAI) 0.0% Pour cette constitution familiale, le nombre d’heures retenues par semaine pour la tenue du ménage est : 43.26 h Empêchements avant obligation de réduire le dommage 13.22 h 30.8% Obligation de réduire le dommage exigible des membres de la famille 13.22 h 30.8% Empêchements après obligation de réduire le dommage 00.00 h 0.0% Il convient de relever que l’aide exigible des proches correspond ainsi à moins de 2 heures par jour, à répartir sur tous les proches, ce qui n’apparaît de loin pas excessif. S’agissant du fils aîné encore présent au moment de la décision litigieuse, dont l’aide a été remise en question par sa mère au motif qu’il était en étude et qu’il traversait une « période compliquée », il a été indiqué lors de l’enquête qu’il</w:t>
      </w:r>
    </w:p>
    <w:p>
      <w:r>
        <w:t>A/712/2024 - 12/13 - prenait tous ses repas à domicile, qu’il était en bonne santé et n’avait aucune activité extrascolaire. Sur le laps de temps de présence au domicile, on pouvait donc exiger de sa part qu’il mette la table, remplisse et vide le lave-vaisselle, effectue quelques emplettes en rentrant de l’école ou durant le week-end, étende le linge de temps à autre, fasse son lit, etc. D’ailleurs, aux dires de l’assurée elle- même, son fils mettait la table, la débarrassait, passait l’aspirateur, rangeait et nettoyait sa chambre. Aucune aide exigible n’a été retenue concernant le plus jeune fils. Cela étant, il était admissible d’attendre de lui que, à 11 ans, il mette la table, la débarrasse, range sa chambre, fasse son lit, etc. tâches dont, au demeurant, sa mère a indiqué qu’elles lui étaient déjà demandées. Quant à l’époux de la recourante, cette dernière a reconnu d’elle-même que son aide ne se limite pas au ménage, qu’il se charge également de l’accompagner et de la soigner, ainsi que de l’éducation des enfants. Certes, il est connu de longue date pour des lombosciatalgies persistantes sur hernie discale L5-S1, mais cela ne saurait suffire à exclure toute aide de sa part. D’autant que, lors de l’enquête ménagère, il a indiqué être en bonne santé habituelle, hormis quelques douleurs lombaires. Qui plus est, il s’avère que, de facto, il apporte une contribution non négligeable à l’accomplissement des tâches ménagères. Aucun élément au dossier ne permet de conclure que les efforts déployés seraient au-dessus de ses forces ou de ses capacités, étant rappelé, une fois encore, que l’aide des proches admise par l’intimé correspond à moins de 2 heures par jour, à répartir entre l’époux de l’assurée et ses deux fils. Dans ces conditions, l’aide exigible retenue par l’intimé n’apparaît pas non plus critiquable.</w:t>
      </w:r>
    </w:p>
    <w:p>
      <w:r>
        <w:rPr>
          <w:b/>
        </w:rPr>
        <w:t>E. 6.1</w:t>
      </w:r>
    </w:p>
    <w:p>
      <w:r>
        <w:t>En l’espèce, les parties s’opposent tout d’abord quant au statut à reconnaître à la recourante, lequel a des conséquences sur la méthode de calcul applicable. Pour l’OAI, la recourante doit être qualifiée de personne non active, ce que l’intéressée conteste.</w:t>
      </w:r>
    </w:p>
    <w:p>
      <w:r>
        <w:rPr>
          <w:b/>
        </w:rPr>
        <w:t>E. 6.1.1</w:t>
      </w:r>
    </w:p>
    <w:p>
      <w:r>
        <w:t>Tout au long de la procédure administrative devant l’OAI, la recourante a allégué être non active : dans sa demande de prestations déposée en août 2022, elle n’a mentionné à titre d’activité lucrative que celle exercée comme patrouilleuse scolaire de novembre 2005 à juin 2008. Que ce soit lorsqu’elle a contesté le projet de décision de l’intimé ou dans son recours initial, la recourante n’a invoqué que la composition de la cellule familiale. À l’enquêtrice, la recourante a indiqué que, sans atteinte à sa santé, elle n’exercerait pas d’activité lucrative. À cet égard, elle a expliqué avoir exercé l’activité de patrouilleuse scolaire, mais l’avoir cessée par choix personnel, pour s’occuper de ses enfants. Elle a ajouté avoir alors fait quelques heures de ménage avant d’arrêter également, car cela devenait trop difficile à gérer avec ses enfants. Elle a également mentionné que les recherches d’emploi avaient été abandonnées depuis de nombreuses années.</w:t>
      </w:r>
    </w:p>
    <w:p>
      <w:r>
        <w:t>A/712/2024 - 10/13 - Force est de constater que ce n’est que lorsqu’elle a été représentée par un avocat, dans le complément à son recours, que l’intéressée a allégué pour la première fois qu’elle aurait travaillé, si sa santé le lui avait permis. En principe, en présence de versions différentes et contradictoires, la préférence doit être accordée à celle que la personne assurée a donnée alors qu'elle en ignorait peut-être les conséquences juridiques, les explications nouvelles pouvant être, consciemment ou non, le fruit de réflexions ultérieures. Certes, cette jurisprudence concernant les premières déclarations ou les déclarations de la première heure ne constitue pas une règle de droit absolue. Elle trouve toutefois application en l’espèce, aucune ne venant étayer le prétendu souhait de travailler de la recourante. Certes, elle a demandé une équivalence de son diplôme au début des années 2000. Cela étant, comme elle l’a indiqué à l’enquêtrice, pour finaliser cette démarche, l’assurée aurait dû faire des stages et passer des examens, raison pour laquelle elle a fini par laisser tomber, se rendant compte que son défaut de maîtrise de la langue française constituait un obstacle supplémentaire. Eu égard à ce qui précède, il convient de confirmer le statut de personne non active retenu par l’intimé.</w:t>
      </w:r>
    </w:p>
    <w:p>
      <w:r>
        <w:rPr>
          <w:b/>
        </w:rPr>
        <w:t>E. 6.2</w:t>
      </w:r>
    </w:p>
    <w:p>
      <w:r>
        <w:t>La recourante conteste ensuite les conclusions de l’enquête à domicile, notamment les empêchements retenus à hauteur de 31.3%, au motif qu’ils auraient été grandement sous-estimés par l’enquêtrice.</w:t>
      </w:r>
    </w:p>
    <w:p>
      <w:r>
        <w:rPr>
          <w:b/>
        </w:rPr>
        <w:t>E. 6.2.1</w:t>
      </w:r>
    </w:p>
    <w:p>
      <w:r>
        <w:t>Force est cependant de constater que non seulement la recourante ne motive pas sa position plus avant, mais qu’au surplus, les conclusions de l’enquête reposent sur les explications de la recourante et de son époux. Qui plus est, l’enquêtrice a tenu compte des diagnostics émis (sclérose en plaque, atteinte du nerf ulnaire gauche et du nerf médian carpien gauche, diabète, maladie coronarienne et syndrome de Raynaud) et des limitations fonctionnelles en découlant (pas de port de charges, pas d’efforts physiques, pas de travail en hauteur, de nuit, impliquant une motricité fine à gauche, des déplacements fréquents, une position debout prolongée, pas d’environnement bruyant, nécessité de pauses fréquentes et non prévisibles, faible endurance attentionnelle, etc.). Dans ces conditions, le grief selon lequel les empêchements auraient été sous- estimés ne convainc pas. On rappellera que, dans le cadre de l'évaluation de l'invalidité dans la part consacrée à l'accomplissement des travaux habituels, il est de jurisprudence constante que si l'assuré n'accomplit plus que difficilement ou avec un investissement temporel beaucoup plus important certains travaux ménagers en raison de son handicap, il doit en premier lieu, au titre de son obligation de réduire le dommage, adopter une méthode de travail appropriée, répartir son travail en fonction de ses aptitudes et de ses disponibilités et demander, dans la mesure du raisonnable, l'aide de ses proches (ATF 133 V 504 consid. 4.2 p. 509 s. et les références; arrêt [du Tribunal fédéral des assurances] I 761/81 du 15 septembre 1983 consid. 5, in RCC 1984 p. 143 s.).</w:t>
      </w:r>
    </w:p>
    <w:p>
      <w:r>
        <w:t>A/712/2024 - 11/13 -</w:t>
      </w:r>
    </w:p>
    <w:p>
      <w:r>
        <w:rPr>
          <w:b/>
        </w:rPr>
        <w:t>E. 6.3</w:t>
      </w:r>
    </w:p>
    <w:p>
      <w:r>
        <w:t>C’est d’ailleurs là, également un grief de la recourante, qui fait valoir d’une part, que son fils né en 2006 – dont elle indiquait précédemment qu’il traversait une « période compliquée » – a quitté le domicile le 1er avril 2024, d’autre part, que son benjamin, âgé de 11 ans fin 2023, était trop jeune pour aider aux tâches ménagères, enfin, que son mari souffre de problèmes de santé qui rendraient l’aide attendue de sa part inexigible.</w:t>
      </w:r>
    </w:p>
    <w:p>
      <w:r>
        <w:rPr>
          <w:b/>
        </w:rPr>
        <w:t>E. 6.3.1</w:t>
      </w:r>
    </w:p>
    <w:p>
      <w:r>
        <w:t>En premier lieu, s’agissant du fils qui a quitté le domicile familial en avril 2024 – soit postérieurement à la décision litigieuse –, on rappellera, à l’instar de l’intimé, que la légalité des décisions attaquées s’apprécie d’après l’état de fait existant au moment de la clôture de la procédure administrative. En l’occurrence, la décision litigieuse a été rendue le 1er février 2024. Dès lors, le fait que l’un des fils de la recourante ait quitté le domicile en avril 2024 n’a pas d’incidence. Il a été expliqué que s’agissant d’une cellule familiale composée de quatre personnes, le nombre d’heures retenues pour la tenue du ménage était estimé à 43h26 selon la statistique fédérale. L’aide exigible de l’ensemble des proches a été évaluée à 13.22h, soit un taux correspondant à celui des empêchements (30.8%), selon le tableau suivant :</w:t>
      </w:r>
    </w:p>
    <w:p>
      <w:r>
        <w:t>Domaines particuliers (activités) selon ch. 3609 CIRAI</w:t>
      </w:r>
    </w:p>
    <w:p>
      <w:r>
        <w:t>Pondération</w:t>
      </w:r>
    </w:p>
    <w:p>
      <w:r>
        <w:t>Empêchements sans aide exigible de la famille</w:t>
      </w:r>
    </w:p>
    <w:p>
      <w:r>
        <w:t>Empêchements après déduction de l’aide exigible des membres de la famille et des personnes vivant en ménage commun</w:t>
      </w:r>
    </w:p>
    <w:p>
      <w:r>
        <w:t>Invalidité 1 Alimentation 30% 46% 0% 0.0% 2 Entretien du logement ou de la maison 20% 36% 0% 0.0% 3 Achats et courses diverses, tâches administratives 10% 45% 0% 0.0% 4 Lessive et entretien des vêtements 10% 25% 0% 0.0% 5 Soins et assistance aux enfants et aux proches 30% 10% 0% 0.0%</w:t>
      </w:r>
    </w:p>
    <w:p>
      <w:r>
        <w:rPr>
          <w:b/>
        </w:rPr>
        <w:t>E. 7</w:t>
      </w:r>
    </w:p>
    <w:p>
      <w:r>
        <w:t>Au vu de ce qui précède, le recours est rejeté.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w:t>
      </w:r>
    </w:p>
    <w:p>
      <w:r>
        <w:t>A/712/2024 - 13/13 -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