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ATAS/242/2022 vom 17. März 2022</w:t>
      </w:r>
    </w:p>
    <w:p>
      <w:r>
        <w:t>GE Cour de justice, 2022-03-17, FR</w:t>
      </w:r>
    </w:p>
    <w:p>
      <w:r>
        <w:rPr>
          <w:b/>
        </w:rPr>
        <w:t xml:space="preserve">Quelle: </w:t>
      </w:r>
      <w:r>
        <w:t>https://mcp.opencaselaw.ch/entscheid/ge_gerichte_ATAS_242_2022</w:t>
      </w:r>
    </w:p>
    <w:p>
      <w:r>
        <w:t>FR: GE_GERICHTE ATAS/242/2022 du 17 mars 2022</w:t>
      </w:r>
    </w:p>
    <w:p>
      <w:r>
        <w:t>IT: GE_GERICHTE ATAS/242/2022 del 17 marzo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Dans la mesure où le recours n’était pas pendant à cette date, il est soumis au nouveau droit (art. 82a LPGA). Quant aux modifications de la LAI du 19 juin 2020, entrées en vigueur le 1er janvier 2022, elles ne sont pas applicables. En effet, en cas de changement de règles de droit, la législation applicable est en principe celle en vigueur au</w:t>
      </w:r>
    </w:p>
    <w:p>
      <w:r>
        <w:t>A/850/2021 - 4/10 - moment où les faits juridiquement déterminants se sont produits (ATF 144 V 210 consid. 4.3.1).</w:t>
      </w:r>
    </w:p>
    <w:p>
      <w:r>
        <w:rPr>
          <w:b/>
        </w:rPr>
        <w:t>E. 3</w:t>
      </w:r>
    </w:p>
    <w:p>
      <w:r>
        <w:t>Déposé dans les forme et délai prévus par la loi (art. 56ss LPGA), le recours est recevable.</w:t>
      </w:r>
    </w:p>
    <w:p>
      <w:r>
        <w:rPr>
          <w:b/>
        </w:rPr>
        <w:t>E. 4</w:t>
      </w:r>
    </w:p>
    <w:p>
      <w:r>
        <w:t>Le litige porte sur le bien-fondé du refus de l'intimé d'entrer en matière sur la nouvelle demande de prestations du recourant.</w:t>
      </w:r>
    </w:p>
    <w:p>
      <w:r>
        <w:rPr>
          <w:b/>
        </w:rPr>
        <w:t>E. 5.1</w:t>
      </w:r>
    </w:p>
    <w:p>
      <w:r>
        <w:t>Selon l'art. 87 du règlement sur l'assurance-invalidité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conditions d'entrée en matière prévues par l'art. 87 al. 3 et 4 RAI ont pour but de restreindre la possibilité de présenter de manière répétée des demandes de rente identiques (ATF 133 V 108 consid. 5.3.1).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w:t>
      </w:r>
    </w:p>
    <w:p>
      <w:r>
        <w:rPr>
          <w:b/>
        </w:rPr>
        <w:t>E. 5.2</w:t>
      </w:r>
    </w:p>
    <w:p>
      <w:r>
        <w:t>Si les allégations de l'assuré ne sont pas plausibles,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(arrêt du Tribunal fédéral 9C_351/2020 du 21 septembre 2020 consid. 3.1).</w:t>
      </w:r>
    </w:p>
    <w:p>
      <w:r>
        <w:rPr>
          <w:b/>
        </w:rPr>
        <w:t>E. 5.3</w:t>
      </w:r>
    </w:p>
    <w:p>
      <w:r>
        <w:t>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arrêt du Tribunal fédéral 9C_676/2018 du 27 novembre 2018 consid. 3.3).</w:t>
      </w:r>
    </w:p>
    <w:p>
      <w:r>
        <w:t>A/850/2021 - 5/10 -</w:t>
      </w:r>
    </w:p>
    <w:p>
      <w:r>
        <w:rPr>
          <w:b/>
        </w:rPr>
        <w:t>E. 5.4</w:t>
      </w:r>
    </w:p>
    <w:p>
      <w:r>
        <w:t>Le principe inquisitoire, selon lequel les faits pertinents de la cause doivent être constatés d'office par l'autorité (art. 43 al. 1 LPGA), ne s'applique pas à la procédure de l'art. 87 al. 3 RAI. Eu égard au caractère atypique de celle-ci dans le droit des assurances sociales, le Tribunal fédéral a précisé que l'administration pouvait appliquer par analogie l'art. 73 aRAI, depuis repris à l’art. 43 al. 3 LPGA, qui permet aux organes de l'assurance-invalidité de statuer en l'état du dossier en cas de refus de l'assuré de coopérer, à la procédure régie par l'art. 87 al. 3 RAI, à la condition de s'en tenir aux principes découlant de la protection de la bonne foi (arrêt du Tribunal fédéral 9C_970/2010 du 30 mars 2011 consid. 3.3).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du Tribunal fédéral 9C_959/2011 du 6 août 2012 consid. 1.3 et les références). On précisera encore 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du Tribunal fédéral 9C_789/2012 du 27 juillet 2013 consid. 4.1).</w:t>
      </w:r>
    </w:p>
    <w:p>
      <w:r>
        <w:rPr>
          <w:b/>
        </w:rPr>
        <w:t>E. 6.1</w:t>
      </w:r>
    </w:p>
    <w:p>
      <w:r>
        <w:t>En l’espèce, la dernière décision de l’intimé rendue après un examen matériel complet remonte à 2019. À l’époque, l'intimé s’était fondé sur l’expertise des Drs D______ et E______. Dans ce rapport, l’experte psychiatre relevait que depuis 2008, l'assuré avait connu une évolution qui avait entraîné un trouble anxieux induit par la peur de ses limitations douloureuses, devenu chronique, avec, par moments, probablement des états dépressifs, lesquels avaient été traités. Le suivi psychiatrique avait un bon impact sur l’état anxieux. L'assuré ne présentait pas de symptômes de la lignée dépressive, mais un état d’anxiété, soit un ressenti d’émotions envahissantes qu'il ne pouvait nommer de façon claire. Cet envahissement entraînait un sentiment d'inquiétude excessif pour toutes les activités du quotidien, en lien, selon l'intéressé, avec les douleurs au niveau de son dos et de ses jambes. Il existait également une amplification des difficultés quotidiennes, une hyper vigilance</w:t>
      </w:r>
    </w:p>
    <w:p>
      <w:r>
        <w:t>A/850/2021 - 6/10 - constante, une fatigue et des troubles du sommeil. Le diagnostic était celui de trouble anxieux sans précision (F 41.9), dont l’intensité était légère et n’empêchait pas l’accomplissement des actes quotidiens. Il n’y avait pas d’incapacité de travail de ce chef. Au plan rhumatologique, le Dr E______ retenait le diagnostic de cervico- lombalgies mécaniques chroniques sur troubles dégénératifs, sans gravité dans une activité adaptée (alternant positions assise et debout et permettant d'éviter le port de charges de 10 kg et les positions à genoux). Les Drs D______ et E______ concluaient à une capacité de travail entière depuis 2010, avec des incapacités de travail limitées de trois à quatre semaines.</w:t>
      </w:r>
    </w:p>
    <w:p>
      <w:r>
        <w:rPr>
          <w:b/>
        </w:rPr>
        <w:t>E. 6.2</w:t>
      </w:r>
    </w:p>
    <w:p>
      <w:r>
        <w:t>Le recourant fonde sa nouvelle demande sur le rapport du 17 juin 2020 de la Dresse E______. Celle-ci y pose les diagnostics de perturbation de l'activité et de l'attention (TDAH; F 90.0), de trouble dépressif récurrent, épisode actuel sévère sans symptômes psychotiques (F 33.2), de difficultés liées à l'emploi et au chômage (Z 56), de difficultés liées au logement et aux conditions économiques (Z 59), de difficultés liées à l'environnement social, solitude (Z 60.2) et de dislocation de la famille par séparation et divorce (Z 63.5). Elle observe une dégradation de l'état de santé de l’assuré, qui s'est cristallisé et chronicisé. De plus, de nouvelles douleurs somatiques sont apparues : il souffre de fourmillements des membres supérieurs, ce qui l'empêche de porter des charges et l'angoisse. Il a récemment été orienté vers un spécialiste pour une infiltration. Il est épuisé en raison du TDAH et des douleurs chroniques. Par ailleurs, il traverse une période difficile d'un point de vue psychosocial. Il a cependant envie de rester actif, malgré des douleurs constantes au dos. Il se dit très irritable et agressif. Il a trouvé un emploi d'aide-jardinier à 25%, qui entraîne cependant beaucoup de douleurs, de sorte que cette tentative de reprise risque de se solder par un échec. Les douleurs physiques exacerbent son état dépressif, ce qui se traduit par des difficultés quotidiennes dans la gestion du ménage et des tâches administratives, notamment en raison d’une humeur abaissée, d'une grande fatigabilité et de troubles du sommeil (difficultés de concentration, d'organisation et troubles de l'attention en lien avec le TDAH). Selon le médecin, la capacité de travail de son patient est nulle dans l’activité habituelle. La psychiatre dit encourager l'assuré à être actif, mais émet l'avis que l'octroi d'une rente serait plus réaliste, afin d’éviter une précarisation.</w:t>
      </w:r>
    </w:p>
    <w:p>
      <w:r>
        <w:rPr>
          <w:b/>
        </w:rPr>
        <w:t>E. 6.3</w:t>
      </w:r>
    </w:p>
    <w:p>
      <w:r>
        <w:t>Madame H______, neuropsychologue, a indiqué dans un rapport du 6 janvier 2014 que le recourant s’était plaint auprès d’elle d’oublis majeurs, d’être désorganisé, irritable, voire agressif, et de moins bien contrôler son impulsivité. Ces troubles étaient présents depuis plusieurs années, mais accentués depuis cinq mois. Son examen avait révélé des troubles attentionnels majeurs et de légères difficultés exécutives dans l’organisation et la planification fine. Le recourant</w:t>
      </w:r>
    </w:p>
    <w:p>
      <w:r>
        <w:t>A/850/2021 - 7/10 - relatait depuis sa jeunesse des difficultés attentionnelles mineures, toujours bien compensées, une certaine impulsivité et un fort régime d’activités. Ces difficultés étaient désormais accrues en présence de problèmes de santé et de la thymie dépressive. Ces éléments indiquaient que les troubles cognitifs pourraient se révéler multifactoriels, avec une composante de trouble déficitaire de l’attention avec hyperactivité (probablement légère), accrue dans le double contexte de l’état dépressivo-anxieux et de l’effet de médicaments délétères sur le plan de la mémoire et de l’attention, notamment la morphine.</w:t>
      </w:r>
    </w:p>
    <w:p>
      <w:r>
        <w:rPr>
          <w:b/>
        </w:rPr>
        <w:t>E. 6.4</w:t>
      </w:r>
    </w:p>
    <w:p>
      <w:r>
        <w:t>Dans son rapport du 4 novembre 2015, la Dresse E______ avait quant à elle posé les diagnostics avec effet sur la capacité de travail d’état dépressif récurrent, épisode actuel sévère sans symptôme psychotique (F 32.2), de perturbation de l’activité et de l’attention (F 90.0) et de hernies discales invalidantes, et avait alors conclu à une capacité de travail nulle.</w:t>
      </w:r>
    </w:p>
    <w:p>
      <w:r>
        <w:rPr>
          <w:b/>
        </w:rPr>
        <w:t>E. 6.5</w:t>
      </w:r>
    </w:p>
    <w:p>
      <w:r>
        <w:t>On notera que la Dresse C______ avait pour sa part retenu les diagnostics de trouble dépressif récurrent en rémission complète (F 33.4), diagnostic anamnestique, et de perturbation de l’activité et l’attention en rémission sous traitement médicamenteux (F 90.0). Au sujet de cette seconde atteinte, la Dresse C______ émettait des doutes quant à une composante de trouble déficitaire de l’attention avec hyperactivité, au vu de l’anamnèse négative concernant les manifestations d’un éventuel déficit de l’attention pendant l’enfance et le début de l’âge adulte. Quoi qu’il en soit, selon cette psychiatre, l’état de l’assuré s’était nettement amélioré au plan anxio-dépressif et cognitif, et la capacité de travail était entière dans toute activité.</w:t>
      </w:r>
    </w:p>
    <w:p>
      <w:r>
        <w:rPr>
          <w:b/>
        </w:rPr>
        <w:t>E. 6.6</w:t>
      </w:r>
    </w:p>
    <w:p>
      <w:r>
        <w:t>Au vu de ce qui précède, force est de constater que les atteintes psychiques censées étayer l’aggravation annoncée en 2020 ont déjà pour l’essentiel été évoquées par le passé, de sorte qu’il ne s’agit pas de pathologies nouvelles. S’agissant des diagnostics portant le code Z, ils n’ont certes pas été mentionnés – à tout le moins selon cette classification – dans les précédents rapports médicaux. Cela étant, il faut rappeler que les circonstances générales et particulières qui conduisent à une situation psychosociale difficile ne suffisent pas à admettre une invalidité. De tels éléments peuvent cependant jouer un rôle dans le développement et la persistance d’une atteinte à la santé distincte. Afin de déterminer si une telle atteinte existe, il est utile de se référer aux descriptions de la CIM-10 (Thomas LOCHER, Die invaliditätsfremden Faktoren in der rechtlichen Anerkennung von Arbeitsunfähigkeit und Invalidität in Schmerz und Arbeitsunfähigkeit, St. Gall 2003, p. 253). Le code Z des atteintes répertoriées dans la CIM-10 vise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Les facteurs psychosociaux et socioculturels ont toutefois des</w:t>
      </w:r>
    </w:p>
    <w:p>
      <w:r>
        <w:t>A/850/2021 - 8/10 - répercussions sur l’invalidité lorsqu’ils conduisent à une véritable altération de l’intégrité psychique, laquelle entrave la capacité de gain, lorsqu’ils entretiennent une atteinte à la santé distincte ou en aggravent les conséquences, qui elles-mêmes existent indépendamment des facteurs étrangers à l’invalidité (SVR 2008 IV N°15 consid. 2.2.2.2). À titre d’exemple, le burn out, classifié sous le chiffre Z 73.0 dans la CIM-10, n’est pas une atteinte à la santé invalidante selon la jurisprudence (arrêt du Tribunal fédéral 8C_302/2011 du 20 septembre 2011 consid. 2.3). Partant, les troubles répertoriés sous Z énumérées par la psychiatre du recourant ne suffisent pas à rendre plausible une aggravation, dès lors qu’ils ne relèvent pas à proprement parler d’atteintes invalidantes. En ce qui concerne le trouble dépressif sévère et le TDAH, il s’agit de pathologies déjà signalées par le passé. Or, ces atteintes – ou à tout le moins leur incidence sur la capacité de travail du recourant dans une activité adaptée – ont été écartées par la Dresse D______. Si le recourant entendait contester la valeur probante de l’expertise de cette psychiatre, il lui appartenait de faire valoir ses griefs à cet égard en interjetant recours à l’encontre de la décision rendue sur la base de cette expertise (cf. dans un cas similaire arrêt du Tribunal fédéral 9C_629/2020 du 6 juillet 2021 consid. 4.2). Compte tenu de l’entrée en force de ladite décision, la Cour de céans n’est pas fondée à revenir sur les conclusions de la Dresse D______. Dans ce contexte, l’avis de la Dresse E______ du 17 juin 2020 relève ainsi d’une appréciation différente d’un même état de fait - étant souligné que cette spécialiste considérait déjà en 2015 que la capacité de travail du recourant était nulle - et ne suffit pas à démontrer une modification influant sur le degré d’invalidité (arrêt du Tribunal fédéral 9C_414/2016 du 7 décembre 2016 consid. 5.2). La cristallisation et la chronicisation évoquées ne le permettent pas non plus, en l’absence de tout changement de diagnostic. La Dresse D______ a du reste admis le caractère chronique de l’état anxieux. Quant aux fourmillements allégués, ils ne suffisent pas non plus à rendre plausible une aggravation au plan somatique en l’absence de tout document médical objectivant ces troubles. De plus, les conséquences de ces fourmillements – soit une angoisse et une impossibilité de port de charges – ne sont pas nouvelles, au vu de l’état anxieux diagnostiqué en 2019 par la Dresse D______ et de l’exclusion du port de charges de plus de 10 kg à titre de limitation fonctionnelle. Il ne s’agit ainsi pas d’éléments révélateurs d’une dégradation de l’état de santé du recourant.</w:t>
      </w:r>
    </w:p>
    <w:p>
      <w:r>
        <w:rPr>
          <w:b/>
        </w:rPr>
        <w:t>E. 6.7</w:t>
      </w:r>
    </w:p>
    <w:p>
      <w:r>
        <w:t>Compte tenu des éléments qui précèdent, c’est à juste titre que l’intimé a considéré que le recourant n’avait pas rendu plausible une aggravation de son état de santé. Le refus d’entrer en matière sur la nouvelle demande doit ainsi être confirmé.</w:t>
      </w:r>
    </w:p>
    <w:p>
      <w:r>
        <w:rPr>
          <w:b/>
        </w:rPr>
        <w:t>E. 7</w:t>
      </w:r>
    </w:p>
    <w:p>
      <w:r>
        <w:t>Le recours est rejeté. Le recourant, qui succombe, n’a pas droit à des dépens (art. 61 let. g LPGA).</w:t>
      </w:r>
    </w:p>
    <w:p>
      <w:r>
        <w:t>A/850/2021 - 9/10 - 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 E 5 10.03).</w:t>
      </w:r>
    </w:p>
    <w:p>
      <w:r>
        <w:t>A/850/2021 - 10/10 -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