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ATAS/242/2021 vom 23. März 2021</w:t>
      </w:r>
    </w:p>
    <w:p>
      <w:r>
        <w:t>GE Cour de justice, 2021-03-23, FR</w:t>
      </w:r>
    </w:p>
    <w:p>
      <w:r>
        <w:rPr>
          <w:b/>
        </w:rPr>
        <w:t xml:space="preserve">Quelle: </w:t>
      </w:r>
      <w:r>
        <w:t>https://mcp.opencaselaw.ch/entscheid/ge_gerichte_ATAS_242_2021</w:t>
      </w:r>
    </w:p>
    <w:p>
      <w:r>
        <w:t>FR: GE_GERICHTE ATAS/242/2021 du 23 mars 2021</w:t>
      </w:r>
    </w:p>
    <w:p>
      <w:r>
        <w:t>IT: GE_GERICHTE ATAS/242/2021 del 23 marzo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l’acte de recours est recevable (art. 56 ss LPGA et 62 ss LPA).</w:t>
      </w:r>
    </w:p>
    <w:p>
      <w:r>
        <w:t>A/234/2020 - 9/19 -</w:t>
      </w:r>
    </w:p>
    <w:p>
      <w:r>
        <w:rPr>
          <w:b/>
        </w:rPr>
        <w:t>E. 3</w:t>
      </w:r>
    </w:p>
    <w:p>
      <w:r>
        <w:t>Le litige de la cause A/234/2020 porte sur le bien-fondé et, subsidiairement, la durée de la suspension de l'indemnité de chômage en raison de la non-inscription du recourant à des agences de placement au 30 novembre 2019. Le litige de la cause A/1999/2020 porte sur le bien-fondé et, subsidiairement, la durée de la suspension de l'indemnité de chômage en raison de l’absence de l’intéressé à l’entretien de conseil du 18 février 2020.</w:t>
      </w:r>
    </w:p>
    <w:p>
      <w:r>
        <w:rPr>
          <w:b/>
        </w:rPr>
        <w:t>E. 4</w:t>
      </w:r>
    </w:p>
    <w:p>
      <w:r>
        <w:t>a. À titre liminaire, il convient d'examiner si la présente cause devrait, comme suggéré par le recourant, être jointe avec la cause A/234/2020 susmentionnée. b.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 c. En l'occurrence, les faits reprochés à l'assuré ne sont pas les mêmes dans les causes A/234/2020 et A/1999/2020, relativement à leur nature comme à la période durant laquelle ils sont survenus. Toutefois, certains faits éventuellement pertinents pour une appréciation globale, y compris pour la cause A/234/2020, en particulier le formulaire portant sur le mois de novembre 2019 déposé le 2 décembre 2019 ainsi que la décision sur opposition du 27 mai 2020, n’ont été portés à la connaissance de la chambre de céans que dans le cadre de la procédure A/1999/2020. En outre, il n’est pas exclu qu’une éventuelle annulation ou réduction de la sanction dans le cadre de la cause A/234/2020 puisse avoir une influence sur celle objet de la cause A/1999/2020, vu la pratique générale de la prise en compte des sanctions précédentes. Partant, la jonction desdites causes se justifie.</w:t>
      </w:r>
    </w:p>
    <w:p>
      <w:r>
        <w:rPr>
          <w:b/>
        </w:rPr>
        <w:t>E. 5</w:t>
      </w:r>
    </w:p>
    <w:p>
      <w:r>
        <w:t>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w:t>
      </w:r>
    </w:p>
    <w:p>
      <w:r>
        <w:t>A/234/2020 - 10/19 -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 Par ailleurs, les entretiens de conseil et de contrôle sont menés par l'ORP en charge du dossier de l'assuré (Bulletin LACI IC ch. B330). En vertu de l’art. 22 al. 2 OACI, l’office compétent mène un entretien de conseil et de contrôle avec chaque assuré à intervalles pertinents mais au moins tous les deux mois. Lors de cet entretien, il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 b. La violation des obligations que l’art. 17 LACI impose à l’assuré expose ce dernier à une suspension de son droit à l’indemnité.</w:t>
      </w:r>
    </w:p>
    <w:p>
      <w:r>
        <w:t>A/234/2020 - 11/19 -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La suspension du droit à l’indemnité de chômage prévue à l’art. 30 LACI n’a pas un caractère pénal. Elle constitue une sanction de droit administratif destinée à combattre les abus en matière d’assurance chômage. Comme telle, cette mesure peut être prononcée de manière répétée, sans que soit applicable l’ancien art. 68 du Code pénal suisse du 21 décembre 1937 (CP - RS 311.0 ; actuellement art. 49 CP ; ATF 123 V 150 consid. 1c ; arrêt du Tribunal fédéral 8C_306/2008 du 26 septembre 2008 consid. 3.2 ; aussi ATAS/590/2019 du 27 juin 2019 consid. 4).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 du Tribunal fédéral 8C_306/2008 précité consid. 3.2 ; ATAS/1097/2018 du 28 novembre 2018 consid. 5b).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Conformément à l’art. 30 al. 2 LACI, l’autorité cantonale prononce les suspensions notamment au sens de l’al. 1 let. c et d.</w:t>
      </w:r>
    </w:p>
    <w:p>
      <w:r>
        <w:t>A/234/2020 - 12/19 - c. Sous l’angle plus précisément de l’art. 30 al. 1 let. c LACI, l’art. 26 OACI, intitulé « recherches personnelles de l’assuré pour trouver du travail », prévoit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arrêt du Tribunal fédéral C 77/06 du 6 mars 2007 consid. 3.1). L'inscription auprès d'agences d'emplois temporaires ne saurait être assimilée à des recherches de travail (arrêt du Tribunal fédéral 8C_800/2008 du 8 avril 2009 consid. 5 ; ATAS/1048/2020 du 9 novembre 2020 consid. 4b et 10). Cependant, dans un cas où l’ORP avait enjoint une assurée de contacter une agence de placement déterminée, pour un poste à pourvoir d'ouvrière en fabrique et alors qu’elle avait longtemps travaillé comme opératrice de saisie, le Tribunal fédéral a considéré que le caractère temporaire d’un emploi proposé ne fait pas partie des motifs - exhaustifs - prévus par le législateur permettant de déroger à l'obligation d'accepter le travail proposé (art. 16 al. 2 LACI). En effet, si l'assurance-chômage a certes entre autres buts de favoriser la réinsertion la plus durable possible du chômeur dans le circuit économique (cf. art. 1 al. 2 aLACI) – actuellement, favoriser l’intégration rapide et durable des assurés dans le marché du travail (art. 1a al. 2 LACI) –, l'assuré demeure tenu, de son côté, d'entreprendre tout ce qu'on peut raisonnablement exiger de lui pour sortir du chômage ; cela signifie qu'il doit, le cas échéant, accepter une occupation temporaire (arrêt du Tribunal fédéral C 311/01 du 9 juillet 2002 consid. 4 ; aussi arrêts du Tribunal fédéral 8C_306/2008 précité consid. 3.3 et C 416/00, C 432/00 du 25 septembre 2001 ; ATAS/837/2019 du 23 septembre 2019 consid. 10). Dans un arrêt récent, la chambre de céans n’a pas remis en cause la possibilité pour l’ORP de formuler une mention spécifique d’agences de placement dans un plan d’actions (ATAS/1053/2020 du 10 novembre 2020). En résumé, si l'inscription auprès d'agences de placement – ou d’emplois temporaires, ou de travail intérimaire – ne saurait être suffisante pour constituer des recherches de travail, il n’en demeure pas moins que, contrairement à ce que soutient le recourant en tant que question de principe, l’ORP est autorisé à exiger d’un assuré qu’il s’inscrive auprès de telles agences. d. D’après la jurisprudence, l'assuré qui ne se rend pas à un entretien de conseil doit en principe être sanctionné si l'on peut déduire de son comportement une légèreté,</w:t>
      </w:r>
    </w:p>
    <w:p>
      <w:r>
        <w:t>A/234/2020 - 13/19 -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8C_157/2009 du 3 juillet 2009 consid. 4 et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8C_928/2014 du 5 mai 2015 consid. 5.1 et C 123/04 du 18 juillet 2005). Un éventuel manquement antérieur à douze mois ne doit plus être pris en considération (arrêts du Tribunal fédéral 8C_675/2014 du 12 décembre 2014 consid. 3 et 8C_469/2010 du 9 février 2011 consid. 2.2).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C 145/01 précité et les arrêts cités). De même, le Tribunal fédéral a admis que la suspension du droit à l'indemnité de l'assuré était injustifiée dans un cas où celui-ci avait noté par erreur dans son agenda un rendez-vous à l'ORP le 29 septembre 2006 au lieu du 26 septembre 2006. En effet, l'assuré avait réagi immédiatement après avoir eu connaissance de son erreur, et il n'avait aucunement manqué à ses obligations durant les trois délais-cadres dont il avait bénéficié (arrêt du Tribunal fédéral 8C_157/2009 précité). e. La durée de la suspension est proportionnelle à la gravité de la faute et ne peut excéder, par motif de suspension, soixante jours, et dans le cas de l’al. 1 let. g, vingt-cinq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quinze jours en cas de faute légère, de seize à trente jours en cas de faute de gravité moyenne, et de trente-et-un à soixante jours en cas de faute grave (al. 3). Il y a faute grave lorsque, sans motif valable, l’assuré, notamment, refuse un emploi réputé convenable (al. 4 let. b). Si l’assuré</w:t>
      </w:r>
    </w:p>
    <w:p>
      <w:r>
        <w:t>A/234/2020 - 14/19 - est suspendu de façon répétée dans son droit à l’indemnité, la durée de suspension est prolongée en conséquence. Les suspensions subies pendant les deux dernières années sont prises en compte dans le calcul de la prolongation (al. 5).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Le fait que l’emploi proposé était temporaire ou intérimaire ne constitue pas un motif valable permettant d’écarter la faute grave (arrêt du Tribunal fédéral C 311/01 précité consid. 5 ; Boris RUBIN, op. cit., n. 117 ad art. 30 LACI). f.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 12 août 2014 consid. 5.1).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w:t>
      </w:r>
    </w:p>
    <w:p>
      <w:r>
        <w:t>A/234/2020 - 15/19 - le nombre de jours à ajouter pour la dernière faute commise doit être élevé (Boris RUBIN, op. cit. n. 126 ad art. 30 LACI). g.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6</w:t>
      </w:r>
    </w:p>
    <w:p>
      <w:r>
        <w:t>a. En l’espèce, tout d’abord, le recourant, selon le plan d’actions, qu’il a signé le 20 septembre 2019, devait, en vue de diversifier les canaux de recrutement, notamment s’inscrire dans trois agences de placement par mois, dans un délai au 30 novembre 2019. Cela signifiait qu’il devait s’inscrire dans trois agences de placement par mois, cela jusqu’au 30 novembre 2019, soit dans trois agences en octobre 2019 et trois autres en novembre 2019. Ce sens ressort du texte même du plan d’actions et a été confirmé par l’intimé dans son écriture du 28 juillet 2020 ; il n’a pas été contesté par l’assuré, ni dans son écrit du 21 août 2020, ni dans le délai qui lui a été octroyé après cela pour formuler, en dernier, d’éventuelles observations. À cet égard, à juste titre, le recourant ne prétend pas qu’il n’aurait pas été correctement renseigné sur ses droits et obligations ou conseillé par l’ORP (art. 27 LPGA, 85 al. 1 let. a et c et 85b LACI, ainsi que 19a OACI). Le grief selon lequel il n’aurait pas été informé que les exigences du plan d’actions excédaient ce qui était légalement exigible de l’assuré n’est pas pertinent. En effet, lesdites exigences étaient, comme vu plus haut, conformes au droit. En particulier, l’obligation de s’inscrire à trois agences de placement par mois, sur la base d’une liste de seize actives dans le domaine de l’hôtellerie-restauration selon le site internet de l’Etat de Genève mentionné par l’intéressé lui-même (https://www.ge.ch/acceder-milliers-offres-emploi-ligne/agences-placement), ne prête pas le flanc à la critique.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w:t>
      </w:r>
    </w:p>
    <w:p>
      <w:r>
        <w:t>A/234/2020 - 16/19 -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En l’occurrence, concernant les faits pertinents, la position du recourant ressort de manière suffisamment claire et complète de ses écritures, de sorte qu’il n’est pas nécessaire de l’entendre en audience, contrairement à ce qu’il a sollicité dans sa dernière écriture. b. Comme indiqué dans le procès-verbal de l’entretien du 31 octobre 2019 tenu par la conseillère en personnel, et sans que cela soit nié, l’intéressé ne s’est inscrit à aucune agence de placement en octobre 2019. Il n’a donc pas respecté l’un des objectifs prescrits par le plan d’actions pour ce mois-ci. Au regard de ce qui précède, le comportement reproché au recourant dans la décision sur opposition querellée constitue un manquement selon l’art. 30 al. 1 LACI, plus précisément les let. c et d, justifiant une sanction sous forme de suspension de son droit à l’indemnité de chômage. c. Il reste à examiner si la durée de la sanction appliquée respecte le principe de proportionnalité. Le Bulletin LACI IC (D79) qualifie de légère la faute consistant en des recherches insuffisantes pendant la période de contrôle, la première fois, et fixe la suspension à une durée entre trois et quatre jours (point 1.C). L’inobservation d’instructions de l’ORP autres que la non-présentation, sans motif valable, à la journée d’information, à un entretien de conseil ou de contrôle, pour la première fois, est une faute légère et conduit à une suspension de trois à dix jours ; elle est, si c’est la deuxième fois, une faute légère à moyenne entraînant une suspension d’une durée minimale de dix jours (3.B). Vu ce barème avec une sanction de trois à dix jours possible pour la première fois (Bulletin LACI IC D79 point 3.B), ainsi que les circonstances du présent cas, en particulier le fait que l’intéressé a été sanctionné par quatre jours de suspension selon la décision du 4 novembre 2019, confirmée par la décision – non contestée – du 6 février 2020, en raison de recherches d’emploi quantitativement insuffisantes du 15 août au 30 septembre 2019, mais a respecté l’instruction de s’inscrire à trois agences de placement en novembre 2019, la durée de six jours de la suspension litigieuse, qui reste au demeurant dans la moitié la plus basse (trois à six jours) de la suspension de trois à dix jours possible, n’apparaît pas excessive. d. La décision sur opposition du 16 décembre 2019 attaquée étant conforme au droit, le recours interjeté contre celle-ci sera rejeté.</w:t>
      </w:r>
    </w:p>
    <w:p>
      <w:r>
        <w:t>A/234/2020 - 17/19 -</w:t>
      </w:r>
    </w:p>
    <w:p>
      <w:r>
        <w:rPr>
          <w:b/>
        </w:rPr>
        <w:t>E. 7</w:t>
      </w:r>
    </w:p>
    <w:p>
      <w:r>
        <w:t>a. Pour ce qui est de la suspension du droit à l’indemnité de chômage pour l’absence à l’entretien de conseil prévu le 18 février 2020 à 11h30, il est incontesté – et incontestable – que le recourant ne s’y est pas présenté. Il s’en est spontanément excusé auprès de sa conseillère en personnel par courriel du 20 février 2020, soit deux jours plus tard. L’explication qu’il a fournie, de manière crédible, concernant cette omission est le fait qu’il était, le 18 février 2020 de 8h00, accaparé par ses activités de RETF auprès du restaurant B______ et qu’il avait omis de vérifier la date de l’entretien, qu’il avait au surplus planifié par confusion à une date ultérieure. b. Au regard de la jurisprudence, ces circonstances permettraient en soi une non- suspension de l’indemnité de chômage pour autant qu’il n’ait commis aucune violation de ses obligations à l'égard de l'assurance-chômage durant les douze mois précédant cet oubli. Or, tel n’a pas été le cas puisque, dans les douze mois précédents, il n’a, premièrement, pas effectué suffisamment de recherches d’emploi durant le délai de congé du 15 août au 30 septembre 2019 et ne s’est, deuxièmement, pas inscrit à trois agences de placement en octobre 2019 contrairement aux instructions de l’ORP. c. Le Bulletin LACI IC (D79) qualifie de légère la faute consistant en la non-présentation, sans motif valable, à la journée d’information, à un entretien de conseil ou de contrôle, la première fois, et fixe la suspension à une durée entre cinq et huit jours ; la deuxième fois, la faute reste légère et la durée de la suspension est entre neuf et quinze jours ; la troisième fois, le dossier est transmis à l'autorité cantonale pour décision (point 3.A). Dans le cas présent, l’office a, en réduisant la durée de la suspension de quatorze à onze jours dans sa décision sur opposition du 9 juin 2020 querellée, tenu compte de l’annulation, par sa décision sur opposition rendue le 27 mai précédent, de la sanction prononcée le 23 décembre 2019 pour la non-inscription à trois agences de placement en novembre 2019. Il s’agit ici de la première non-présentation, sans motif valable, à un entretien de conseil ou de contrôle. L’omission de présentation à l’entretien de conseil prévu le 18 février 2020 a été commise alors que l’assuré était en plein exercice d’activités d’ordre professionnel dans le cadre d’une mesure organisée par l’ORP, et l’intéressé s’est excusé spontanément et relativement rapidement de cet oubli. Cette omission, si elle était considérée indépendamment des antécédents, justifierait une suspension de cinq jours. Au regard de ces circonstances et compte tenu des deux précédentes suspensions infligées par l’intimé pour des faits de nature différente durant la période d’observation de deux ans, ainsi que du comportement général de l’intéressé, qui a, notamment, accompli de manière satisfaisante son stage auprès du restaurant</w:t>
      </w:r>
    </w:p>
    <w:p>
      <w:r>
        <w:t>A/234/2020 - 18/19 - B______, il se justifie de réduire la durée de la suspension du droit à l’indemnité de chômage de onze à neuf jours. d. Partant, la décision sur opposition du 9 juin 2020 contestée sera réformée dans le sens que la durée de la suspension de l’indemnité de chômage infligée au recourant sera réduite de onze à neuf jours, le recours interjeté contre cette décision étant ainsi partiellement admis.</w:t>
      </w:r>
    </w:p>
    <w:p>
      <w:r>
        <w:rPr>
          <w:b/>
        </w:rPr>
        <w:t>E. 8</w:t>
      </w:r>
    </w:p>
    <w:p>
      <w:r>
        <w:t>Le recourant, qui obtient très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Par ailleurs, la procédure est gratuite (art. 61 let. a LPGA).</w:t>
      </w:r>
    </w:p>
    <w:p>
      <w:r>
        <w:t>A/234/2020 - 19/19 - PAR CES MOTIFS, LA CHAMBRE DES ASSURANCES SOCIALES : Statuant À la forme et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